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ectPr>
          <w:headerReference r:id="rId3" w:type="default"/>
          <w:footerReference r:id="rId5" w:type="default"/>
          <w:headerReference r:id="rId4" w:type="even"/>
          <w:footerReference r:id="rId6" w:type="even"/>
          <w:pgSz w:w="11907" w:h="16839"/>
          <w:pgMar w:top="567" w:right="851" w:bottom="1361" w:left="1418" w:header="0" w:footer="0" w:gutter="0"/>
          <w:pgNumType w:fmt="upperRoman" w:start="1"/>
          <w:cols w:space="425" w:num="1"/>
          <w:titlePg/>
          <w:docGrid w:type="lines" w:linePitch="312" w:charSpace="0"/>
        </w:sectPr>
      </w:pPr>
      <w:r>
        <w:rPr>
          <w:rFonts w:ascii="宋体" w:hAnsi="宋体"/>
          <w:b/>
          <w:bCs/>
          <w:szCs w:val="32"/>
        </w:rPr>
        <w:br w:type="page"/>
      </w:r>
      <w:bookmarkStart w:id="0" w:name="SectionMark0"/>
      <w:r>
        <mc:AlternateContent>
          <mc:Choice Requires="wps">
            <w:drawing>
              <wp:anchor distT="0" distB="0" distL="114300" distR="114300" simplePos="0" relativeHeight="251679744" behindDoc="0" locked="0" layoutInCell="1" allowOverlap="1">
                <wp:simplePos x="0" y="0"/>
                <wp:positionH relativeFrom="column">
                  <wp:posOffset>31115</wp:posOffset>
                </wp:positionH>
                <wp:positionV relativeFrom="paragraph">
                  <wp:posOffset>8888095</wp:posOffset>
                </wp:positionV>
                <wp:extent cx="6121400" cy="0"/>
                <wp:effectExtent l="7620" t="8890" r="5080" b="10160"/>
                <wp:wrapNone/>
                <wp:docPr id="25" name="AutoShape 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straightConnector1">
                          <a:avLst/>
                        </a:prstGeom>
                        <a:noFill/>
                        <a:ln w="9525">
                          <a:solidFill>
                            <a:srgbClr val="000000"/>
                          </a:solidFill>
                          <a:round/>
                        </a:ln>
                      </wps:spPr>
                      <wps:bodyPr/>
                    </wps:wsp>
                  </a:graphicData>
                </a:graphic>
              </wp:anchor>
            </w:drawing>
          </mc:Choice>
          <mc:Fallback>
            <w:pict>
              <v:shape id="AutoShape 2" o:spid="_x0000_s1026" o:spt="32" type="#_x0000_t32" style="position:absolute;left:0pt;margin-left:2.45pt;margin-top:699.85pt;height:0pt;width:482pt;z-index:251679744;mso-width-relative:page;mso-height-relative:page;" filled="f" stroked="t" coordsize="21600,21600" o:gfxdata="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QNRa51gAAAAsBAAAPAAAAAAAAAAEAIAAAACIA&#10;AABkcnMvZG93bnJldi54bWxQSwECFAAUAAAACACHTuJAtsDH/tIBAACzAwAADgAAAAAAAAABACAA&#10;AAAlAQAAZHJzL2Uyb0RvYy54bWxQSwUGAAAAAAYABgBZAQAAaQ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43815</wp:posOffset>
                </wp:positionH>
                <wp:positionV relativeFrom="paragraph">
                  <wp:posOffset>2353310</wp:posOffset>
                </wp:positionV>
                <wp:extent cx="6121400" cy="0"/>
                <wp:effectExtent l="10795" t="8255" r="11430" b="10795"/>
                <wp:wrapNone/>
                <wp:docPr id="24" name="AutoShape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straightConnector1">
                          <a:avLst/>
                        </a:prstGeom>
                        <a:noFill/>
                        <a:ln w="9525">
                          <a:solidFill>
                            <a:srgbClr val="000000"/>
                          </a:solidFill>
                          <a:round/>
                        </a:ln>
                      </wps:spPr>
                      <wps:bodyPr/>
                    </wps:wsp>
                  </a:graphicData>
                </a:graphic>
              </wp:anchor>
            </w:drawing>
          </mc:Choice>
          <mc:Fallback>
            <w:pict>
              <v:shape id="AutoShape 3" o:spid="_x0000_s1026" o:spt="32" type="#_x0000_t32" style="position:absolute;left:0pt;margin-left:3.45pt;margin-top:185.3pt;height:0pt;width:482pt;z-index:251678720;mso-width-relative:page;mso-height-relative:page;" filled="f" stroked="t" coordsize="21600,21600" o:gfxdata="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36MiNYAAAAJAQAADwAAAAAAAAABACAA&#10;AAAiAAAAZHJzL2Rvd25yZXYueG1sUEsBAhQAFAAAAAgAh07iQAmTxVLWAQAAswMAAA4AAAAAAAAA&#10;AQAgAAAAJQEAAGRycy9lMm9Eb2MueG1sUEsFBgAAAAAGAAYAWQEAAG0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7696" behindDoc="0" locked="0" layoutInCell="1" allowOverlap="1">
                <wp:simplePos x="0" y="0"/>
                <wp:positionH relativeFrom="column">
                  <wp:align>left</wp:align>
                </wp:positionH>
                <wp:positionV relativeFrom="paragraph">
                  <wp:posOffset>2578100</wp:posOffset>
                </wp:positionV>
                <wp:extent cx="6121400" cy="0"/>
                <wp:effectExtent l="0" t="4445" r="0" b="0"/>
                <wp:wrapNone/>
                <wp:docPr id="23" name="Line 4"/>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4" o:spid="_x0000_s1026" o:spt="20" style="position:absolute;left:0pt;margin-top:203pt;height:0pt;width:482pt;mso-position-horizontal:left;z-index:251677696;mso-width-relative:page;mso-height-relative:page;" filled="f" stroked="t" coordsize="21600,21600" o:gfxdata="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rVPmjdUAAAAIAQAADwAAAAAAAAABACAAAAAiAAAAZHJzL2Rvd25y&#10;ZXYueG1sUEsBAhQAFAAAAAgAh07iQFB2utXIAQAAoQMAAA4AAAAAAAAAAQAgAAAAJAEAAGRycy9l&#10;Mm9Eb2MueG1sUEsFBgAAAAAGAAYAWQEAAF4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-96520</wp:posOffset>
                </wp:positionH>
                <wp:positionV relativeFrom="paragraph">
                  <wp:posOffset>2425700</wp:posOffset>
                </wp:positionV>
                <wp:extent cx="6121400" cy="0"/>
                <wp:effectExtent l="3810" t="4445" r="0" b="0"/>
                <wp:wrapNone/>
                <wp:docPr id="22" name="Line 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5" o:spid="_x0000_s1026" o:spt="20" style="position:absolute;left:0pt;margin-left:-7.6pt;margin-top:191pt;height:0pt;width:482pt;z-index:251676672;mso-width-relative:page;mso-height-relative:page;" filled="f" stroked="t" coordsize="21600,21600" o:gfxdata="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5SBETZAAAACwEAAA8AAAAAAAAAAQAgAAAAIgAAAGRycy9k&#10;b3ducmV2LnhtbFBLAQIUABQAAAAIAIdO4kAZWTfhyAEAAKEDAAAOAAAAAAAAAAEAIAAAACgBAABk&#10;cnMvZTJvRG9jLnhtbFBLBQYAAAAABgAGAFkBAABiBQ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75648" behindDoc="0" locked="0" layoutInCell="1" allowOverlap="1">
                <wp:simplePos x="0" y="0"/>
                <wp:positionH relativeFrom="margin">
                  <wp:posOffset>-486410</wp:posOffset>
                </wp:positionH>
                <wp:positionV relativeFrom="margin">
                  <wp:posOffset>2338070</wp:posOffset>
                </wp:positionV>
                <wp:extent cx="384810" cy="0"/>
                <wp:effectExtent l="4445" t="2540" r="1270" b="0"/>
                <wp:wrapNone/>
                <wp:docPr id="21" name="AutoShape 6"/>
                <wp:cNvGraphicFramePr/>
                <a:graphic xmlns:a="http://schemas.openxmlformats.org/drawingml/2006/main">
                  <a:graphicData uri="http://schemas.microsoft.com/office/word/2010/wordprocessingShape">
                    <wps:wsp>
                      <wps:cNvCnPr>
                        <a:cxnSpLocks noChangeShapeType="1"/>
                      </wps:cNvCnPr>
                      <wps:spPr bwMode="auto">
                        <a:xfrm>
                          <a:off x="0" y="0"/>
                          <a:ext cx="384810" cy="0"/>
                        </a:xfrm>
                        <a:prstGeom prst="straightConnector1">
                          <a:avLst/>
                        </a:prstGeom>
                        <a:noFill/>
                        <a:ln>
                          <a:noFill/>
                        </a:ln>
                      </wps:spPr>
                      <wps:bodyPr/>
                    </wps:wsp>
                  </a:graphicData>
                </a:graphic>
              </wp:anchor>
            </w:drawing>
          </mc:Choice>
          <mc:Fallback>
            <w:pict>
              <v:shape id="AutoShape 6" o:spid="_x0000_s1026" o:spt="32" type="#_x0000_t32" style="position:absolute;left:0pt;margin-left:-38.3pt;margin-top:184.1pt;height:0pt;width:30.3pt;mso-position-horizontal-relative:margin;mso-position-vertical-relative:margin;z-index:251675648;mso-width-relative:page;mso-height-relative:page;" filled="f" stroked="f" coordsize="21600,21600" o:gfxdata="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n&#10;2rDG2AAAAAsBAAAPAAAAAAAAAAEAIAAAACIAAABkcnMvZG93bnJldi54bWxQSwECFAAUAAAACACH&#10;TuJAYjTBGrIBAAB2AwAADgAAAAAAAAABACAAAAAnAQAAZHJzL2Uyb0RvYy54bWxQSwUGAAAAAAYA&#10;BgBZAQAASwUAAAAA&#10;">
                <v:fill on="f" focussize="0,0"/>
                <v:stroke on="f"/>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1270</wp:posOffset>
                </wp:positionH>
                <wp:positionV relativeFrom="paragraph">
                  <wp:posOffset>8900160</wp:posOffset>
                </wp:positionV>
                <wp:extent cx="6121400" cy="0"/>
                <wp:effectExtent l="0" t="1905" r="0" b="0"/>
                <wp:wrapNone/>
                <wp:docPr id="20" name="Line 7"/>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7" o:spid="_x0000_s1026" o:spt="20" style="position:absolute;left:0pt;margin-left:0.1pt;margin-top:700.8pt;height:0pt;width:482pt;z-index:251673600;mso-width-relative:page;mso-height-relative:page;" filled="f" stroked="t" coordsize="21600,21600" o:gfxdata="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0Sj6r1QAAAAoBAAAPAAAAAAAAAAEAIAAAACIAAABkcnMvZG93bnJl&#10;di54bWxQSwECFAAUAAAACACHTuJAiwctiMcBAAChAwAADgAAAAAAAAABACAAAAAkAQAAZHJzL2Uy&#10;b0RvYy54bWxQSwUGAAAAAAYABgBZAQAAXQU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-24130</wp:posOffset>
                </wp:positionH>
                <wp:positionV relativeFrom="paragraph">
                  <wp:posOffset>2331720</wp:posOffset>
                </wp:positionV>
                <wp:extent cx="6121400" cy="0"/>
                <wp:effectExtent l="0" t="0" r="3175" b="3810"/>
                <wp:wrapNone/>
                <wp:docPr id="19" name="Line 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8" o:spid="_x0000_s1026" o:spt="20" style="position:absolute;left:0pt;margin-left:-1.9pt;margin-top:183.6pt;height:0pt;width:482pt;z-index:251674624;mso-width-relative:page;mso-height-relative:page;" filled="f" stroked="t" coordsize="21600,21600" o:gfxdata="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XQXqdgAAAAKAQAADwAAAAAAAAABACAAAAAiAAAAZHJzL2Rv&#10;d25yZXYueG1sUEsBAhQAFAAAAAgAh07iQJj2cFTIAQAAoQMAAA4AAAAAAAAAAQAgAAAAJwEAAGRy&#10;cy9lMm9Eb2MueG1sUEsFBgAAAAAGAAYAWQEAAGE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72576" behindDoc="0" locked="1" layoutInCell="1" allowOverlap="1">
                <wp:simplePos x="0" y="0"/>
                <wp:positionH relativeFrom="margin">
                  <wp:posOffset>4674235</wp:posOffset>
                </wp:positionH>
                <wp:positionV relativeFrom="margin">
                  <wp:posOffset>9259570</wp:posOffset>
                </wp:positionV>
                <wp:extent cx="598805" cy="312420"/>
                <wp:effectExtent l="2540" t="0" r="0" b="2540"/>
                <wp:wrapNone/>
                <wp:docPr id="18" name="Text Box 9"/>
                <wp:cNvGraphicFramePr/>
                <a:graphic xmlns:a="http://schemas.openxmlformats.org/drawingml/2006/main">
                  <a:graphicData uri="http://schemas.microsoft.com/office/word/2010/wordprocessingShape">
                    <wps:wsp>
                      <wps:cNvSpPr txBox="1">
                        <a:spLocks noChangeArrowheads="1"/>
                      </wps:cNvSpPr>
                      <wps:spPr bwMode="auto">
                        <a:xfrm>
                          <a:off x="0" y="0"/>
                          <a:ext cx="598805" cy="312420"/>
                        </a:xfrm>
                        <a:prstGeom prst="rect">
                          <a:avLst/>
                        </a:prstGeom>
                        <a:solidFill>
                          <a:srgbClr val="FFFFFF"/>
                        </a:solidFill>
                        <a:ln>
                          <a:noFill/>
                        </a:ln>
                      </wps:spPr>
                      <wps:txbx>
                        <w:txbxContent>
                          <w:p>
                            <w:r>
                              <w:rPr>
                                <w:rStyle w:val="23"/>
                                <w:rFonts w:hint="eastAsia"/>
                              </w:rPr>
                              <w:t>发布</w:t>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368.05pt;margin-top:729.1pt;height:24.6pt;width:47.15pt;mso-position-horizontal-relative:margin;mso-position-vertical-relative:margin;z-index:251672576;mso-width-relative:page;mso-height-relative:page;" fillcolor="#FFFFFF" filled="t" stroked="f" coordsize="21600,21600" o:gfxdata="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4ulybcAAAADQEAAA8AAAAA&#10;AAAAAQAgAAAAIgAAAGRycy9kb3ducmV2LnhtbFBLAQIUABQAAAAIAIdO4kAByQqkEAIAAC0EAAAO&#10;AAAAAAAAAAEAIAAAACsBAABkcnMvZTJvRG9jLnhtbFBLBQYAAAAABgAGAFkBAACtBQAAAAA=&#10;">
                <v:fill on="t" focussize="0,0"/>
                <v:stroke on="f"/>
                <v:imagedata o:title=""/>
                <o:lock v:ext="edit" aspectratio="f"/>
                <v:textbox inset="0mm,0mm,0mm,0mm">
                  <w:txbxContent>
                    <w:p>
                      <w:r>
                        <w:rPr>
                          <w:rStyle w:val="23"/>
                          <w:rFonts w:hint="eastAsia"/>
                        </w:rPr>
                        <w:t>发布</w:t>
                      </w:r>
                    </w:p>
                  </w:txbxContent>
                </v:textbox>
                <w10:anchorlock/>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-7620</wp:posOffset>
                </wp:positionH>
                <wp:positionV relativeFrom="paragraph">
                  <wp:posOffset>8900160</wp:posOffset>
                </wp:positionV>
                <wp:extent cx="6121400" cy="0"/>
                <wp:effectExtent l="0" t="1905" r="0" b="0"/>
                <wp:wrapNone/>
                <wp:docPr id="17"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10" o:spid="_x0000_s1026" o:spt="20" style="position:absolute;left:0pt;margin-left:-0.6pt;margin-top:700.8pt;height:0pt;width:482pt;z-index:251671552;mso-width-relative:page;mso-height-relative:page;" filled="f" stroked="t" coordsize="21600,21600" o:gfxdata="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DH1P6dcAAAAMAQAADwAAAAAAAAABACAAAAAiAAAAZHJzL2Rv&#10;d25yZXYueG1sUEsBAhQAFAAAAAgAh07iQB2TjYjJAQAAogMAAA4AAAAAAAAAAQAgAAAAJgEAAGRy&#10;cy9lMm9Eb2MueG1sUEsFBgAAAAAGAAYAWQEAAGE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-10160</wp:posOffset>
                </wp:positionH>
                <wp:positionV relativeFrom="paragraph">
                  <wp:posOffset>2338070</wp:posOffset>
                </wp:positionV>
                <wp:extent cx="6121400" cy="0"/>
                <wp:effectExtent l="4445" t="2540" r="0" b="0"/>
                <wp:wrapNone/>
                <wp:docPr id="16"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11" o:spid="_x0000_s1026" o:spt="20" style="position:absolute;left:0pt;margin-left:-0.8pt;margin-top:184.1pt;height:0pt;width:482pt;z-index:251670528;mso-width-relative:page;mso-height-relative:page;" filled="f" stroked="t" coordsize="21600,21600" o:gfxdata="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cmmvbYAAAACgEAAA8AAAAAAAAAAQAgAAAAIgAAAGRycy9k&#10;b3ducmV2LnhtbFBLAQIUABQAAAAIAIdO4kB8J/GMyQEAAKIDAAAOAAAAAAAAAAEAIAAAACcBAABk&#10;cnMvZTJvRG9jLnhtbFBLBQYAAAAABgAGAFkBAABiBQ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152400</wp:posOffset>
                </wp:positionH>
                <wp:positionV relativeFrom="paragraph">
                  <wp:posOffset>2261870</wp:posOffset>
                </wp:positionV>
                <wp:extent cx="6121400" cy="0"/>
                <wp:effectExtent l="0" t="2540" r="0" b="0"/>
                <wp:wrapNone/>
                <wp:docPr id="15" name="Line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12" o:spid="_x0000_s1026" o:spt="20" style="position:absolute;left:0pt;margin-left:12pt;margin-top:178.1pt;height:0pt;width:482pt;z-index:251669504;mso-width-relative:page;mso-height-relative:page;" filled="f" stroked="t" coordsize="21600,21600" o:gfxdata="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OGWZPYAAAACgEAAA8AAAAAAAAAAQAgAAAAIgAAAGRycy9k&#10;b3ducmV2LnhtbFBLAQIUABQAAAAIAIdO4kDf+3SAyQEAAKIDAAAOAAAAAAAAAAEAIAAAACcBAABk&#10;cnMvZTJvRG9jLnhtbFBLBQYAAAAABgAGAFkBAABiBQ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1270" r="0" b="0"/>
                <wp:wrapNone/>
                <wp:docPr id="14" name="Line 1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13" o:spid="_x0000_s1026" o:spt="20" style="position:absolute;left:0pt;margin-left:0pt;margin-top:700pt;height:0pt;width:482pt;z-index:251668480;mso-width-relative:page;mso-height-relative:page;" filled="f" stroked="t" coordsize="21600,21600"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9hqwO9QAAAAKAQAADwAAAAAAAAABACAAAAAiAAAAZHJzL2Rvd25y&#10;ZXYueG1sUEsBAhQAFAAAAAgAh07iQL5PCITJAQAAogMAAA4AAAAAAAAAAQAgAAAAIwEAAGRycy9l&#10;Mm9Eb2MueG1sUEsFBgAAAAAGAAYAWQEAAF4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4445" r="0" b="0"/>
                <wp:wrapNone/>
                <wp:docPr id="13" name="Line 14"/>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14" o:spid="_x0000_s1026" o:spt="20" style="position:absolute;left:0pt;margin-left:0pt;margin-top:179pt;height:0pt;width:482pt;z-index:251667456;mso-width-relative:page;mso-height-relative:page;" filled="f" stroked="t" coordsize="21600,21600"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si7QF1gAAAAgBAAAPAAAAAAAAAAEAIAAAACIAAABkcnMvZG93&#10;bnJldi54bWxQSwECFAAUAAAACACHTuJAmUJ/mckBAACiAwAADgAAAAAAAAABACAAAAAlAQAAZHJz&#10;L2Uyb0RvYy54bWxQSwUGAAAAAAYABgBZAQAAYAU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9271635</wp:posOffset>
                </wp:positionV>
                <wp:extent cx="5462905" cy="363220"/>
                <wp:effectExtent l="0" t="1905" r="0" b="0"/>
                <wp:wrapNone/>
                <wp:docPr id="12" name="fmFrame7"/>
                <wp:cNvGraphicFramePr/>
                <a:graphic xmlns:a="http://schemas.openxmlformats.org/drawingml/2006/main">
                  <a:graphicData uri="http://schemas.microsoft.com/office/word/2010/wordprocessingShape">
                    <wps:wsp>
                      <wps:cNvSpPr txBox="1">
                        <a:spLocks noChangeArrowheads="1"/>
                      </wps:cNvSpPr>
                      <wps:spPr bwMode="auto">
                        <a:xfrm>
                          <a:off x="0" y="0"/>
                          <a:ext cx="5462905" cy="363220"/>
                        </a:xfrm>
                        <a:prstGeom prst="rect">
                          <a:avLst/>
                        </a:prstGeom>
                        <a:solidFill>
                          <a:srgbClr val="FFFFFF"/>
                        </a:solidFill>
                        <a:ln>
                          <a:noFill/>
                        </a:ln>
                      </wps:spPr>
                      <wps:txbx>
                        <w:txbxContent>
                          <w:p>
                            <w:pPr>
                              <w:pStyle w:val="28"/>
                              <w:rPr>
                                <w:rFonts w:ascii="宋体" w:hAnsi="宋体" w:eastAsia="宋体"/>
                              </w:rPr>
                            </w:pPr>
                            <w:r>
                              <w:rPr>
                                <w:rFonts w:hint="eastAsia" w:ascii="宋体" w:hAnsi="宋体" w:eastAsia="宋体"/>
                              </w:rPr>
                              <w:t>江苏省市场监督管理局</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30.05pt;height:28.6pt;width:430.15pt;mso-position-horizontal-relative:margin;mso-position-vertical-relative:margin;z-index:251666432;mso-width-relative:page;mso-height-relative:page;" fillcolor="#FFFFFF" filled="t" stroked="f" coordsize="21600,21600" o:gfxdata="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xyldgAAAAKAQAADwAAAAAAAAAB&#10;ACAAAAAiAAAAZHJzL2Rvd25yZXYueG1sUEsBAhQAFAAAAAgAh07iQJejLTIQAgAALAQAAA4AAAAA&#10;AAAAAQAgAAAAJwEAAGRycy9lMm9Eb2MueG1sUEsFBgAAAAAGAAYAWQEAAKkFAAAAAA==&#10;">
                <v:fill on="t" focussize="0,0"/>
                <v:stroke on="f"/>
                <v:imagedata o:title=""/>
                <o:lock v:ext="edit" aspectratio="f"/>
                <v:textbox inset="0mm,0mm,0mm,0mm">
                  <w:txbxContent>
                    <w:p>
                      <w:pPr>
                        <w:pStyle w:val="28"/>
                        <w:rPr>
                          <w:rFonts w:ascii="宋体" w:hAnsi="宋体" w:eastAsia="宋体"/>
                        </w:rPr>
                      </w:pPr>
                      <w:r>
                        <w:rPr>
                          <w:rFonts w:hint="eastAsia" w:ascii="宋体" w:hAnsi="宋体" w:eastAsia="宋体"/>
                        </w:rPr>
                        <w:t>江苏省市场监督管理局</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8583930</wp:posOffset>
                </wp:positionV>
                <wp:extent cx="2019300" cy="312420"/>
                <wp:effectExtent l="635" t="0" r="0" b="1905"/>
                <wp:wrapNone/>
                <wp:docPr id="11"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29"/>
                              <w:rPr>
                                <w:rFonts w:ascii="黑体"/>
                              </w:rPr>
                            </w:pPr>
                            <w:r>
                              <w:rPr>
                                <w:rFonts w:hint="eastAsia" w:asci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5.9pt;height:24.6pt;width:159pt;mso-position-horizontal-relative:margin;mso-position-vertical-relative:margin;z-index:251665408;mso-width-relative:page;mso-height-relative:page;" fillcolor="#FFFFFF" filled="t" stroked="f" coordsize="21600,21600" o:gfxdata="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1+UdoAAAANAQAADwAAAAAAAAAB&#10;ACAAAAAiAAAAZHJzL2Rvd25yZXYueG1sUEsBAhQAFAAAAAgAh07iQDTQ7hgOAgAALAQAAA4AAAAA&#10;AAAAAQAgAAAAKQEAAGRycy9lMm9Eb2MueG1sUEsFBgAAAAAGAAYAWQEAAKkFAAAAAA==&#10;">
                <v:fill on="t" focussize="0,0"/>
                <v:stroke on="f"/>
                <v:imagedata o:title=""/>
                <o:lock v:ext="edit" aspectratio="f"/>
                <v:textbox inset="0mm,0mm,0mm,0mm">
                  <w:txbxContent>
                    <w:p>
                      <w:pPr>
                        <w:pStyle w:val="29"/>
                        <w:rPr>
                          <w:rFonts w:ascii="黑体"/>
                        </w:rPr>
                      </w:pPr>
                      <w:r>
                        <w:rPr>
                          <w:rFonts w:hint="eastAsia" w:ascii="黑体"/>
                        </w:rPr>
                        <w:t>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41910</wp:posOffset>
                </wp:positionH>
                <wp:positionV relativeFrom="margin">
                  <wp:posOffset>8595995</wp:posOffset>
                </wp:positionV>
                <wp:extent cx="2019300" cy="312420"/>
                <wp:effectExtent l="0" t="2540" r="635" b="0"/>
                <wp:wrapNone/>
                <wp:docPr id="10"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24"/>
                              <w:rPr>
                                <w:rFonts w:ascii="黑体"/>
                              </w:rPr>
                            </w:pPr>
                            <w:r>
                              <w:rPr>
                                <w:rFonts w:hint="eastAsia" w:asci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3.3pt;margin-top:676.85pt;height:24.6pt;width:159pt;mso-position-horizontal-relative:margin;mso-position-vertical-relative:margin;z-index:251664384;mso-width-relative:page;mso-height-relative:page;" fillcolor="#FFFFFF" filled="t" stroked="f" coordsize="21600,21600" o:gfxdata="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BlsT7YAAAACwEAAA8AAAAAAAAAAQAg&#10;AAAAIgAAAGRycy9kb3ducmV2LnhtbFBLAQIUABQAAAAIAIdO4kDKMqnfDgIAACwEAAAOAAAAAAAA&#10;AAEAIAAAACcBAABkcnMvZTJvRG9jLnhtbFBLBQYAAAAABgAGAFkBAACnBQAAAAA=&#10;">
                <v:fill on="t" focussize="0,0"/>
                <v:stroke on="f"/>
                <v:imagedata o:title=""/>
                <o:lock v:ext="edit" aspectratio="f"/>
                <v:textbox inset="0mm,0mm,0mm,0mm">
                  <w:txbxContent>
                    <w:p>
                      <w:pPr>
                        <w:pStyle w:val="24"/>
                        <w:rPr>
                          <w:rFonts w:ascii="黑体"/>
                        </w:rPr>
                      </w:pPr>
                      <w:r>
                        <w:rPr>
                          <w:rFonts w:hint="eastAsia" w:ascii="黑体"/>
                        </w:rPr>
                        <w:t>发布</w:t>
                      </w:r>
                    </w:p>
                  </w:txbxContent>
                </v:textbox>
                <w10:anchorlock/>
              </v:shape>
            </w:pict>
          </mc:Fallback>
        </mc:AlternateContent>
      </w:r>
      <w:bookmarkStart w:id="1" w:name="_GoBack"/>
      <w:bookmarkEnd w:id="1"/>
      <w:r>
        <mc:AlternateContent>
          <mc:Choice Requires="wps">
            <w:drawing>
              <wp:anchor distT="0" distB="0" distL="114300" distR="114300" simplePos="0" relativeHeight="251663360" behindDoc="0" locked="1" layoutInCell="1" allowOverlap="1">
                <wp:simplePos x="0" y="0"/>
                <wp:positionH relativeFrom="margin">
                  <wp:posOffset>-66675</wp:posOffset>
                </wp:positionH>
                <wp:positionV relativeFrom="margin">
                  <wp:posOffset>3684905</wp:posOffset>
                </wp:positionV>
                <wp:extent cx="6436995" cy="2395220"/>
                <wp:effectExtent l="0" t="0" r="1905" b="5080"/>
                <wp:wrapNone/>
                <wp:docPr id="9" name="fmFrame4"/>
                <wp:cNvGraphicFramePr/>
                <a:graphic xmlns:a="http://schemas.openxmlformats.org/drawingml/2006/main">
                  <a:graphicData uri="http://schemas.microsoft.com/office/word/2010/wordprocessingShape">
                    <wps:wsp>
                      <wps:cNvSpPr txBox="1">
                        <a:spLocks noChangeArrowheads="1"/>
                      </wps:cNvSpPr>
                      <wps:spPr bwMode="auto">
                        <a:xfrm>
                          <a:off x="0" y="0"/>
                          <a:ext cx="6436995" cy="2395220"/>
                        </a:xfrm>
                        <a:prstGeom prst="rect">
                          <a:avLst/>
                        </a:prstGeom>
                        <a:solidFill>
                          <a:srgbClr val="FFFFFF"/>
                        </a:solidFill>
                        <a:ln>
                          <a:noFill/>
                        </a:ln>
                      </wps:spPr>
                      <wps:txbx>
                        <w:txbxContent>
                          <w:p>
                            <w:pPr>
                              <w:pStyle w:val="25"/>
                              <w:rPr>
                                <w:rFonts w:ascii="黑体" w:eastAsia="黑体"/>
                                <w:bCs/>
                                <w:color w:val="000000"/>
                                <w:sz w:val="52"/>
                              </w:rPr>
                            </w:pPr>
                            <w:r>
                              <w:rPr>
                                <w:rFonts w:hint="eastAsia" w:ascii="黑体" w:eastAsia="黑体"/>
                                <w:bCs/>
                                <w:color w:val="000000"/>
                                <w:sz w:val="52"/>
                              </w:rPr>
                              <w:t>南方稻茬机播小麦耐渍减灾技术规程</w:t>
                            </w:r>
                          </w:p>
                          <w:p>
                            <w:pPr>
                              <w:pStyle w:val="25"/>
                              <w:rPr>
                                <w:rFonts w:eastAsia="黑体"/>
                              </w:rPr>
                            </w:pPr>
                            <w:r>
                              <w:rPr>
                                <w:rFonts w:eastAsia="黑体"/>
                              </w:rPr>
                              <w:t>Technical code of practice for waterlogging resistance and reduction in yield loss of wheat mechanical drilling after rice in southern China</w:t>
                            </w:r>
                          </w:p>
                          <w:p>
                            <w:pPr>
                              <w:pStyle w:val="25"/>
                              <w:rPr>
                                <w:rFonts w:eastAsia="黑体"/>
                              </w:rPr>
                            </w:pPr>
                            <w:r>
                              <w:rPr>
                                <w:rFonts w:hint="eastAsia" w:eastAsia="黑体"/>
                              </w:rPr>
                              <w:t>（征求意见稿）</w:t>
                            </w:r>
                          </w:p>
                          <w:p>
                            <w:pPr>
                              <w:pStyle w:val="25"/>
                              <w:rPr>
                                <w:rFonts w:eastAsia="黑体"/>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5.25pt;margin-top:290.15pt;height:188.6pt;width:506.85pt;mso-position-horizontal-relative:margin;mso-position-vertical-relative:margin;z-index:251663360;mso-width-relative:page;mso-height-relative:page;" fillcolor="#FFFFFF" filled="t" stroked="f" coordsize="21600,21600" o:gfxdata="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qg4sHaAAAADAEAAA8AAAAA&#10;AAAAAQAgAAAAIgAAAGRycy9kb3ducmV2LnhtbFBLAQIUABQAAAAIAIdO4kADP4VSEgIAACwEAAAO&#10;AAAAAAAAAAEAIAAAACkBAABkcnMvZTJvRG9jLnhtbFBLBQYAAAAABgAGAFkBAACtBQAAAAA=&#10;">
                <v:fill on="t" focussize="0,0"/>
                <v:stroke on="f"/>
                <v:imagedata o:title=""/>
                <o:lock v:ext="edit" aspectratio="f"/>
                <v:textbox inset="0mm,0mm,0mm,0mm">
                  <w:txbxContent>
                    <w:p>
                      <w:pPr>
                        <w:pStyle w:val="25"/>
                        <w:rPr>
                          <w:rFonts w:ascii="黑体" w:eastAsia="黑体"/>
                          <w:bCs/>
                          <w:color w:val="000000"/>
                          <w:sz w:val="52"/>
                        </w:rPr>
                      </w:pPr>
                      <w:r>
                        <w:rPr>
                          <w:rFonts w:hint="eastAsia" w:ascii="黑体" w:eastAsia="黑体"/>
                          <w:bCs/>
                          <w:color w:val="000000"/>
                          <w:sz w:val="52"/>
                        </w:rPr>
                        <w:t>南方稻茬机播小麦耐渍减灾技术规程</w:t>
                      </w:r>
                    </w:p>
                    <w:p>
                      <w:pPr>
                        <w:pStyle w:val="25"/>
                        <w:rPr>
                          <w:rFonts w:eastAsia="黑体"/>
                        </w:rPr>
                      </w:pPr>
                      <w:r>
                        <w:rPr>
                          <w:rFonts w:eastAsia="黑体"/>
                        </w:rPr>
                        <w:t>Technical code of practice for waterlogging resistance and reduction in yield loss of wheat mechanical drilling after rice in southern China</w:t>
                      </w:r>
                    </w:p>
                    <w:p>
                      <w:pPr>
                        <w:pStyle w:val="25"/>
                        <w:rPr>
                          <w:rFonts w:eastAsia="黑体"/>
                        </w:rPr>
                      </w:pPr>
                      <w:r>
                        <w:rPr>
                          <w:rFonts w:hint="eastAsia" w:eastAsia="黑体"/>
                        </w:rPr>
                        <w:t>（征求意见稿）</w:t>
                      </w:r>
                    </w:p>
                    <w:p>
                      <w:pPr>
                        <w:pStyle w:val="25"/>
                        <w:rPr>
                          <w:rFonts w:eastAsia="黑体"/>
                        </w:rP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4399915</wp:posOffset>
                </wp:positionH>
                <wp:positionV relativeFrom="margin">
                  <wp:posOffset>1652270</wp:posOffset>
                </wp:positionV>
                <wp:extent cx="1812925" cy="309880"/>
                <wp:effectExtent l="4445" t="2540" r="1905" b="1905"/>
                <wp:wrapNone/>
                <wp:docPr id="8" name="fmFrame3"/>
                <wp:cNvGraphicFramePr/>
                <a:graphic xmlns:a="http://schemas.openxmlformats.org/drawingml/2006/main">
                  <a:graphicData uri="http://schemas.microsoft.com/office/word/2010/wordprocessingShape">
                    <wps:wsp>
                      <wps:cNvSpPr txBox="1">
                        <a:spLocks noChangeArrowheads="1"/>
                      </wps:cNvSpPr>
                      <wps:spPr bwMode="auto">
                        <a:xfrm>
                          <a:off x="0" y="0"/>
                          <a:ext cx="1812925" cy="309880"/>
                        </a:xfrm>
                        <a:prstGeom prst="rect">
                          <a:avLst/>
                        </a:prstGeom>
                        <a:solidFill>
                          <a:srgbClr val="FFFFFF"/>
                        </a:solidFill>
                        <a:ln>
                          <a:noFill/>
                        </a:ln>
                      </wps:spPr>
                      <wps:txbx>
                        <w:txbxContent>
                          <w:p>
                            <w:pPr>
                              <w:ind w:right="420"/>
                              <w:jc w:val="left"/>
                              <w:rPr>
                                <w:rFonts w:ascii="黑体" w:eastAsia="黑体"/>
                                <w:sz w:val="28"/>
                                <w:szCs w:val="28"/>
                              </w:rPr>
                            </w:pPr>
                            <w:r>
                              <w:rPr>
                                <w:rFonts w:ascii="黑体" w:eastAsia="黑体"/>
                                <w:sz w:val="28"/>
                                <w:szCs w:val="28"/>
                              </w:rPr>
                              <w:t xml:space="preserve">DB </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346.45pt;margin-top:130.1pt;height:24.4pt;width:142.75pt;mso-position-horizontal-relative:margin;mso-position-vertical-relative:margin;z-index:251662336;mso-width-relative:page;mso-height-relative:page;" fillcolor="#FFFFFF" filled="t" stroked="f" coordsize="21600,21600" o:gfxdata="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guQFM9kAAAALAQAADwAAAAAAAAAB&#10;ACAAAAAiAAAAZHJzL2Rvd25yZXYueG1sUEsBAhQAFAAAAAgAh07iQP8Wwi0PAgAAKwQAAA4AAAAA&#10;AAAAAQAgAAAAKAEAAGRycy9lMm9Eb2MueG1sUEsFBgAAAAAGAAYAWQEAAKkFAAAAAA==&#10;">
                <v:fill on="t" focussize="0,0"/>
                <v:stroke on="f"/>
                <v:imagedata o:title=""/>
                <o:lock v:ext="edit" aspectratio="f"/>
                <v:textbox inset="0mm,0mm,0mm,0mm">
                  <w:txbxContent>
                    <w:p>
                      <w:pPr>
                        <w:ind w:right="420"/>
                        <w:jc w:val="left"/>
                        <w:rPr>
                          <w:rFonts w:ascii="黑体" w:eastAsia="黑体"/>
                          <w:sz w:val="28"/>
                          <w:szCs w:val="28"/>
                        </w:rPr>
                      </w:pPr>
                      <w:r>
                        <w:rPr>
                          <w:rFonts w:ascii="黑体" w:eastAsia="黑体"/>
                          <w:sz w:val="28"/>
                          <w:szCs w:val="28"/>
                        </w:rPr>
                        <w:t xml:space="preserve">DB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3283585</wp:posOffset>
                </wp:positionH>
                <wp:positionV relativeFrom="margin">
                  <wp:posOffset>222250</wp:posOffset>
                </wp:positionV>
                <wp:extent cx="2440940" cy="720090"/>
                <wp:effectExtent l="2540" t="1270" r="4445" b="2540"/>
                <wp:wrapNone/>
                <wp:docPr id="7" name="fmFrame8"/>
                <wp:cNvGraphicFramePr/>
                <a:graphic xmlns:a="http://schemas.openxmlformats.org/drawingml/2006/main">
                  <a:graphicData uri="http://schemas.microsoft.com/office/word/2010/wordprocessingShape">
                    <wps:wsp>
                      <wps:cNvSpPr txBox="1">
                        <a:spLocks noChangeArrowheads="1"/>
                      </wps:cNvSpPr>
                      <wps:spPr bwMode="auto">
                        <a:xfrm>
                          <a:off x="0" y="0"/>
                          <a:ext cx="2440940" cy="720090"/>
                        </a:xfrm>
                        <a:prstGeom prst="rect">
                          <a:avLst/>
                        </a:prstGeom>
                        <a:solidFill>
                          <a:srgbClr val="FFFFFF"/>
                        </a:solidFill>
                        <a:ln>
                          <a:noFill/>
                        </a:ln>
                      </wps:spPr>
                      <wps:txbx>
                        <w:txbxContent>
                          <w:p>
                            <w:pPr>
                              <w:pStyle w:val="16"/>
                              <w:wordWrap w:val="0"/>
                              <w:rPr>
                                <w:rFonts w:eastAsia="黑体"/>
                              </w:rPr>
                            </w:pPr>
                            <w:r>
                              <w:rPr>
                                <w:rFonts w:eastAsia="黑体"/>
                              </w:rPr>
                              <w:t>DB</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58.55pt;margin-top:17.5pt;height:56.7pt;width:192.2pt;mso-position-horizontal-relative:margin;mso-position-vertical-relative:margin;z-index:251661312;mso-width-relative:page;mso-height-relative:page;" fillcolor="#FFFFFF" filled="t" stroked="f" coordsize="21600,21600" o:gfxdata="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3TxSYtkAAAAKAQAADwAAAAAAAAAB&#10;ACAAAAAiAAAAZHJzL2Rvd25yZXYueG1sUEsBAhQAFAAAAAgAh07iQNQmtaUPAgAAKwQAAA4AAAAA&#10;AAAAAQAgAAAAKAEAAGRycy9lMm9Eb2MueG1sUEsFBgAAAAAGAAYAWQEAAKkFAAAAAA==&#10;">
                <v:fill on="t" focussize="0,0"/>
                <v:stroke on="f"/>
                <v:imagedata o:title=""/>
                <o:lock v:ext="edit" aspectratio="f"/>
                <v:textbox inset="0mm,0mm,0mm,0mm">
                  <w:txbxContent>
                    <w:p>
                      <w:pPr>
                        <w:pStyle w:val="16"/>
                        <w:wordWrap w:val="0"/>
                        <w:rPr>
                          <w:rFonts w:eastAsia="黑体"/>
                        </w:rPr>
                      </w:pPr>
                      <w:r>
                        <w:rPr>
                          <w:rFonts w:eastAsia="黑体"/>
                        </w:rPr>
                        <w:t>DB</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7620</wp:posOffset>
                </wp:positionH>
                <wp:positionV relativeFrom="margin">
                  <wp:posOffset>1014730</wp:posOffset>
                </wp:positionV>
                <wp:extent cx="6120130" cy="558800"/>
                <wp:effectExtent l="3175" t="3175" r="127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558800"/>
                        </a:xfrm>
                        <a:prstGeom prst="rect">
                          <a:avLst/>
                        </a:prstGeom>
                        <a:solidFill>
                          <a:srgbClr val="FFFFFF"/>
                        </a:solidFill>
                        <a:ln>
                          <a:noFill/>
                        </a:ln>
                      </wps:spPr>
                      <wps:txbx>
                        <w:txbxContent>
                          <w:p>
                            <w:pPr>
                              <w:pStyle w:val="27"/>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6pt;margin-top:79.9pt;height:44pt;width:481.9pt;mso-position-horizontal-relative:margin;mso-position-vertical-relative:margin;z-index:251660288;mso-width-relative:page;mso-height-relative:page;" fillcolor="#FFFFFF" filled="t" stroked="f" coordsize="21600,21600" o:gfxdata="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AVUXDYAAAACQEAAA8AAAAAAAAAAQAg&#10;AAAAIgAAAGRycy9kb3ducmV2LnhtbFBLAQIUABQAAAAIAIdO4kCQ2U8vDgIAACsEAAAOAAAAAAAA&#10;AAEAIAAAACcBAABkcnMvZTJvRG9jLnhtbFBLBQYAAAAABgAGAFkBAACnBQAAAAA=&#10;">
                <v:fill on="t" focussize="0,0"/>
                <v:stroke on="f"/>
                <v:imagedata o:title=""/>
                <o:lock v:ext="edit" aspectratio="f"/>
                <v:textbox inset="0mm,0mm,0mm,0mm">
                  <w:txbxContent>
                    <w:p>
                      <w:pPr>
                        <w:pStyle w:val="27"/>
                      </w:pPr>
                      <w:r>
                        <w:rPr>
                          <w:rFonts w:hint="eastAsia"/>
                        </w:rPr>
                        <w:t>江苏省地方标准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30480</wp:posOffset>
                </wp:positionH>
                <wp:positionV relativeFrom="margin">
                  <wp:posOffset>35560</wp:posOffset>
                </wp:positionV>
                <wp:extent cx="1643380" cy="657860"/>
                <wp:effectExtent l="0" t="0" r="0" b="381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1643380" cy="657860"/>
                        </a:xfrm>
                        <a:prstGeom prst="rect">
                          <a:avLst/>
                        </a:prstGeom>
                        <a:solidFill>
                          <a:srgbClr val="FFFFFF"/>
                        </a:solidFill>
                        <a:ln>
                          <a:noFill/>
                        </a:ln>
                      </wps:spPr>
                      <wps:txbx>
                        <w:txbxContent>
                          <w:p>
                            <w:pPr>
                              <w:pStyle w:val="30"/>
                              <w:rPr>
                                <w:rFonts w:ascii="黑体"/>
                              </w:rPr>
                            </w:pPr>
                            <w:r>
                              <w:rPr>
                                <w:rFonts w:ascii="黑体"/>
                              </w:rPr>
                              <w:t>ICS XXXXXXXX</w:t>
                            </w:r>
                          </w:p>
                          <w:p>
                            <w:pPr>
                              <w:pStyle w:val="30"/>
                              <w:rPr>
                                <w:rFonts w:ascii="黑体"/>
                              </w:rPr>
                            </w:pPr>
                            <w:r>
                              <w:rPr>
                                <w:rFonts w:ascii="黑体"/>
                              </w:rPr>
                              <w:t>X  XX</w:t>
                            </w:r>
                          </w:p>
                          <w:p>
                            <w:pPr>
                              <w:pStyle w:val="30"/>
                              <w:rPr>
                                <w:rFonts w:ascii="黑体"/>
                              </w:rPr>
                            </w:pPr>
                            <w:r>
                              <w:rPr>
                                <w:rFonts w:hint="eastAsia" w:ascii="黑体"/>
                              </w:rPr>
                              <w:t>备案号：</w:t>
                            </w:r>
                            <w:r>
                              <w:rPr>
                                <w:rFonts w:ascii="黑体"/>
                              </w:rPr>
                              <w:t>XXXX-XXXX</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2.4pt;margin-top:2.8pt;height:51.8pt;width:129.4pt;mso-position-horizontal-relative:margin;mso-position-vertical-relative:margin;z-index:251659264;mso-width-relative:page;mso-height-relative:page;" fillcolor="#FFFFFF" filled="t" stroked="f" coordsize="21600,21600" o:gfxdata="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3qqj9UAAAAHAQAADwAAAAAAAAABACAA&#10;AAAiAAAAZHJzL2Rvd25yZXYueG1sUEsBAhQAFAAAAAgAh07iQGTHpiYQAgAAKwQAAA4AAAAAAAAA&#10;AQAgAAAAJAEAAGRycy9lMm9Eb2MueG1sUEsFBgAAAAAGAAYAWQEAAKYFAAAAAA==&#10;">
                <v:fill on="t" focussize="0,0"/>
                <v:stroke on="f"/>
                <v:imagedata o:title=""/>
                <o:lock v:ext="edit" aspectratio="f"/>
                <v:textbox inset="0mm,0mm,0mm,0mm">
                  <w:txbxContent>
                    <w:p>
                      <w:pPr>
                        <w:pStyle w:val="30"/>
                        <w:rPr>
                          <w:rFonts w:ascii="黑体"/>
                        </w:rPr>
                      </w:pPr>
                      <w:r>
                        <w:rPr>
                          <w:rFonts w:ascii="黑体"/>
                        </w:rPr>
                        <w:t>ICS XXXXXXXX</w:t>
                      </w:r>
                    </w:p>
                    <w:p>
                      <w:pPr>
                        <w:pStyle w:val="30"/>
                        <w:rPr>
                          <w:rFonts w:ascii="黑体"/>
                        </w:rPr>
                      </w:pPr>
                      <w:r>
                        <w:rPr>
                          <w:rFonts w:ascii="黑体"/>
                        </w:rPr>
                        <w:t>X  XX</w:t>
                      </w:r>
                    </w:p>
                    <w:p>
                      <w:pPr>
                        <w:pStyle w:val="30"/>
                        <w:rPr>
                          <w:rFonts w:ascii="黑体"/>
                        </w:rPr>
                      </w:pPr>
                      <w:r>
                        <w:rPr>
                          <w:rFonts w:hint="eastAsia" w:ascii="黑体"/>
                        </w:rPr>
                        <w:t>备案号：</w:t>
                      </w:r>
                      <w:r>
                        <w:rPr>
                          <w:rFonts w:ascii="黑体"/>
                        </w:rPr>
                        <w:t>XXXX-XXXX</w:t>
                      </w:r>
                    </w:p>
                  </w:txbxContent>
                </v:textbox>
                <w10:anchorlock/>
              </v:shape>
            </w:pict>
          </mc:Fallback>
        </mc:AlternateContent>
      </w:r>
    </w:p>
    <w:bookmarkEnd w:id="0"/>
    <w:p>
      <w:pPr>
        <w:pStyle w:val="22"/>
        <w:spacing w:before="820"/>
      </w:pPr>
      <w:r>
        <w:rPr>
          <w:rFonts w:hint="eastAsia"/>
        </w:rPr>
        <w:t>前言</w:t>
      </w:r>
    </w:p>
    <w:p>
      <w:pPr>
        <w:ind w:firstLine="210" w:firstLineChars="100"/>
        <w:rPr>
          <w:rFonts w:ascii="宋体" w:hAnsi="宋体" w:eastAsia="宋体"/>
          <w:sz w:val="21"/>
          <w:szCs w:val="21"/>
        </w:rPr>
      </w:pPr>
      <w:r>
        <w:rPr>
          <w:rFonts w:hint="eastAsia" w:ascii="宋体" w:hAnsi="宋体" w:eastAsia="宋体"/>
          <w:sz w:val="21"/>
          <w:szCs w:val="21"/>
        </w:rPr>
        <w:t>本文件按照GB/T 1.1—2020《标准化工作导则 第1部分：标准化文件的结构和起草规则》的规定起草。</w:t>
      </w:r>
    </w:p>
    <w:p>
      <w:pPr>
        <w:ind w:firstLine="210" w:firstLineChars="100"/>
        <w:rPr>
          <w:rFonts w:ascii="宋体" w:hAnsi="宋体" w:eastAsia="宋体"/>
          <w:sz w:val="21"/>
          <w:szCs w:val="21"/>
        </w:rPr>
      </w:pPr>
      <w:r>
        <w:rPr>
          <w:rFonts w:hint="eastAsia" w:ascii="宋体" w:hAnsi="宋体" w:eastAsia="宋体"/>
          <w:sz w:val="21"/>
          <w:szCs w:val="21"/>
        </w:rPr>
        <w:t>本文件由南京农业大学提出。</w:t>
      </w:r>
    </w:p>
    <w:p>
      <w:pPr>
        <w:ind w:firstLine="210" w:firstLineChars="100"/>
        <w:rPr>
          <w:rFonts w:ascii="宋体" w:hAnsi="宋体" w:eastAsia="宋体"/>
          <w:sz w:val="21"/>
          <w:szCs w:val="21"/>
        </w:rPr>
      </w:pPr>
      <w:r>
        <w:rPr>
          <w:rFonts w:hint="eastAsia" w:ascii="宋体" w:hAnsi="宋体" w:eastAsia="宋体"/>
          <w:sz w:val="21"/>
          <w:szCs w:val="21"/>
        </w:rPr>
        <w:t>本文件由江苏省农业农村厅归口。</w:t>
      </w:r>
    </w:p>
    <w:p>
      <w:pPr>
        <w:ind w:firstLine="210" w:firstLineChars="100"/>
        <w:rPr>
          <w:rFonts w:ascii="宋体" w:hAnsi="宋体" w:eastAsia="宋体"/>
          <w:sz w:val="21"/>
          <w:szCs w:val="21"/>
        </w:rPr>
      </w:pPr>
      <w:r>
        <w:rPr>
          <w:rFonts w:hint="eastAsia" w:ascii="宋体" w:hAnsi="宋体" w:eastAsia="宋体"/>
          <w:sz w:val="21"/>
          <w:szCs w:val="21"/>
        </w:rPr>
        <w:t>本文件起草单位：南京农业大学。</w:t>
      </w:r>
    </w:p>
    <w:p>
      <w:pPr>
        <w:adjustRightInd w:val="0"/>
        <w:snapToGrid w:val="0"/>
        <w:ind w:firstLine="210" w:firstLineChars="100"/>
        <w:rPr>
          <w:rFonts w:ascii="宋体" w:hAnsi="宋体" w:eastAsia="宋体" w:cs="Courier New"/>
          <w:sz w:val="21"/>
          <w:szCs w:val="21"/>
        </w:rPr>
      </w:pPr>
      <w:r>
        <w:rPr>
          <w:rFonts w:hint="eastAsia" w:ascii="宋体" w:hAnsi="宋体" w:eastAsia="宋体"/>
          <w:sz w:val="21"/>
          <w:szCs w:val="21"/>
        </w:rPr>
        <w:t>本文件主要起草人：姜东、</w:t>
      </w:r>
      <w:r>
        <w:rPr>
          <w:rFonts w:hint="eastAsia" w:ascii="宋体" w:hAnsi="宋体" w:eastAsia="宋体" w:cs="Courier New"/>
          <w:sz w:val="21"/>
          <w:szCs w:val="21"/>
        </w:rPr>
        <w:t>周琴、蔡剑、王笑、黄梅、仲迎鑫、戴廷波、田中伟。</w:t>
      </w:r>
    </w:p>
    <w:p/>
    <w:p>
      <w:pPr>
        <w:widowControl/>
        <w:jc w:val="left"/>
        <w:rPr>
          <w:rFonts w:ascii="宋体" w:hAnsi="宋体" w:eastAsia="宋体"/>
          <w:b/>
          <w:bCs/>
          <w:kern w:val="0"/>
          <w:szCs w:val="32"/>
        </w:rPr>
      </w:pPr>
      <w:r>
        <w:rPr>
          <w:rFonts w:ascii="宋体" w:hAnsi="宋体" w:eastAsia="宋体"/>
          <w:b/>
          <w:bCs/>
          <w:kern w:val="0"/>
          <w:szCs w:val="32"/>
        </w:rPr>
        <w:br w:type="page"/>
      </w:r>
    </w:p>
    <w:p>
      <w:pPr>
        <w:ind w:firstLine="435"/>
        <w:jc w:val="center"/>
        <w:rPr>
          <w:rFonts w:ascii="黑体" w:hAnsi="黑体" w:eastAsia="黑体"/>
          <w:sz w:val="24"/>
          <w:szCs w:val="24"/>
        </w:rPr>
      </w:pPr>
      <w:r>
        <w:rPr>
          <w:rFonts w:hint="eastAsia" w:ascii="黑体" w:hAnsi="黑体" w:eastAsia="黑体"/>
          <w:b/>
          <w:kern w:val="0"/>
        </w:rPr>
        <w:t>南方稻茬机播小麦耐渍减灾技术规程</w:t>
      </w:r>
    </w:p>
    <w:p>
      <w:pPr>
        <w:pStyle w:val="6"/>
        <w:spacing w:before="540" w:beforeAutospacing="0" w:after="156" w:afterLines="50" w:afterAutospacing="0" w:line="360" w:lineRule="exact"/>
        <w:rPr>
          <w:rFonts w:ascii="黑体" w:hAnsi="黑体" w:eastAsia="黑体"/>
          <w:sz w:val="21"/>
          <w:szCs w:val="21"/>
        </w:rPr>
      </w:pPr>
      <w:r>
        <w:rPr>
          <w:rFonts w:ascii="黑体" w:hAnsi="黑体" w:eastAsia="黑体"/>
          <w:sz w:val="21"/>
          <w:szCs w:val="21"/>
        </w:rPr>
        <w:t xml:space="preserve">1 </w:t>
      </w:r>
      <w:r>
        <w:rPr>
          <w:rFonts w:hint="eastAsia" w:ascii="黑体" w:hAnsi="黑体" w:eastAsia="黑体"/>
          <w:sz w:val="21"/>
          <w:szCs w:val="21"/>
        </w:rPr>
        <w:t>范围</w:t>
      </w:r>
    </w:p>
    <w:p>
      <w:pPr>
        <w:spacing w:line="360" w:lineRule="exact"/>
        <w:ind w:firstLine="435"/>
        <w:rPr>
          <w:rFonts w:eastAsia="宋体"/>
          <w:sz w:val="21"/>
          <w:szCs w:val="21"/>
        </w:rPr>
      </w:pPr>
      <w:r>
        <w:rPr>
          <w:rFonts w:hint="eastAsia" w:eastAsia="宋体"/>
          <w:sz w:val="21"/>
          <w:szCs w:val="21"/>
        </w:rPr>
        <w:t>本文件规定了南方稻</w:t>
      </w:r>
      <w:r>
        <w:rPr>
          <w:rFonts w:hint="eastAsia" w:ascii="宋体" w:hAnsi="宋体" w:eastAsia="宋体"/>
          <w:sz w:val="21"/>
          <w:szCs w:val="21"/>
        </w:rPr>
        <w:t>麦两熟为主地区，</w:t>
      </w:r>
      <w:r>
        <w:rPr>
          <w:rFonts w:hint="eastAsia" w:eastAsia="宋体"/>
          <w:sz w:val="21"/>
          <w:szCs w:val="21"/>
        </w:rPr>
        <w:t>机播小麦优质高产高效栽培的播前准备、播种技术、肥水管理、病虫草害防治、抗逆应变措施以及收收获与贮藏的要求。</w:t>
      </w:r>
    </w:p>
    <w:p>
      <w:pPr>
        <w:spacing w:line="360" w:lineRule="exact"/>
        <w:ind w:firstLine="435"/>
        <w:rPr>
          <w:rFonts w:eastAsia="宋体"/>
          <w:sz w:val="21"/>
          <w:szCs w:val="21"/>
        </w:rPr>
      </w:pPr>
      <w:r>
        <w:rPr>
          <w:rFonts w:hint="eastAsia" w:eastAsia="宋体"/>
          <w:sz w:val="21"/>
          <w:szCs w:val="21"/>
        </w:rPr>
        <w:t>本文件适用于南方稻麦两熟地区，</w:t>
      </w:r>
      <w:r>
        <w:rPr>
          <w:rFonts w:hint="eastAsia" w:ascii="宋体" w:hAnsi="宋体" w:eastAsia="宋体"/>
          <w:sz w:val="21"/>
          <w:szCs w:val="21"/>
        </w:rPr>
        <w:t>稻茬</w:t>
      </w:r>
      <w:r>
        <w:rPr>
          <w:rFonts w:hint="eastAsia" w:eastAsia="宋体"/>
          <w:sz w:val="21"/>
          <w:szCs w:val="21"/>
        </w:rPr>
        <w:t>小麦生产区，其他自然条件和生产条件的类似地区可参照使用。</w:t>
      </w:r>
    </w:p>
    <w:p>
      <w:pPr>
        <w:pStyle w:val="6"/>
        <w:spacing w:before="240" w:beforeAutospacing="0" w:after="156" w:afterLines="50" w:afterAutospacing="0" w:line="360" w:lineRule="exact"/>
        <w:rPr>
          <w:rFonts w:ascii="黑体" w:hAnsi="黑体" w:eastAsia="黑体"/>
          <w:sz w:val="21"/>
          <w:szCs w:val="21"/>
        </w:rPr>
      </w:pPr>
      <w:r>
        <w:rPr>
          <w:rFonts w:ascii="黑体" w:hAnsi="黑体" w:eastAsia="黑体"/>
          <w:sz w:val="21"/>
          <w:szCs w:val="21"/>
        </w:rPr>
        <w:t xml:space="preserve">2 </w:t>
      </w:r>
      <w:r>
        <w:rPr>
          <w:rFonts w:hint="eastAsia" w:ascii="黑体" w:hAnsi="黑体" w:eastAsia="黑体"/>
          <w:sz w:val="21"/>
          <w:szCs w:val="21"/>
        </w:rPr>
        <w:t>规范性引用文件</w:t>
      </w:r>
    </w:p>
    <w:p>
      <w:pPr>
        <w:ind w:firstLine="420" w:firstLineChars="200"/>
        <w:rPr>
          <w:rFonts w:eastAsia="宋体"/>
          <w:kern w:val="0"/>
          <w:sz w:val="21"/>
          <w:szCs w:val="21"/>
        </w:rPr>
      </w:pPr>
      <w:r>
        <w:rPr>
          <w:rFonts w:eastAsia="宋体"/>
          <w:kern w:val="0"/>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GB 4404.1-2023粮食作物种子第1部分：禾谷类</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GB/T8321（所有部分）农药合理使用准则</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14:textFill>
            <w14:solidFill>
              <w14:schemeClr w14:val="tx1"/>
            </w14:solidFill>
          </w14:textFill>
        </w:rPr>
        <w:t>LST1211-2008粮油储藏技术规范</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NY/T 496-2010 肥料合理使用准则 通则</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NY/T 995-2006 谷物（小麦）联合收获机械作业质量</w:t>
      </w:r>
    </w:p>
    <w:p>
      <w:pPr>
        <w:pStyle w:val="6"/>
        <w:spacing w:before="0" w:beforeAutospacing="0" w:after="0" w:afterAutospacing="0" w:line="360" w:lineRule="exact"/>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T/JAASS 1-2021 稻茬麦化学农药减量增效技术规程</w:t>
      </w:r>
    </w:p>
    <w:p>
      <w:pPr>
        <w:pStyle w:val="6"/>
        <w:spacing w:before="240" w:beforeAutospacing="0" w:after="156" w:afterLines="50" w:afterAutospacing="0" w:line="360" w:lineRule="exact"/>
        <w:rPr>
          <w:b/>
          <w:sz w:val="21"/>
          <w:szCs w:val="21"/>
        </w:rPr>
      </w:pPr>
      <w:r>
        <w:rPr>
          <w:b/>
          <w:sz w:val="21"/>
          <w:szCs w:val="21"/>
        </w:rPr>
        <w:t xml:space="preserve">3 </w:t>
      </w:r>
      <w:r>
        <w:rPr>
          <w:rFonts w:hint="eastAsia"/>
          <w:b/>
          <w:sz w:val="21"/>
          <w:szCs w:val="21"/>
        </w:rPr>
        <w:t>术语和定义</w:t>
      </w:r>
    </w:p>
    <w:p>
      <w:pPr>
        <w:ind w:firstLine="420" w:firstLineChars="200"/>
        <w:rPr>
          <w:rFonts w:ascii="宋体" w:hAnsi="宋体" w:eastAsia="宋体"/>
          <w:b/>
          <w:kern w:val="0"/>
          <w:sz w:val="21"/>
          <w:szCs w:val="21"/>
        </w:rPr>
      </w:pPr>
      <w:r>
        <w:rPr>
          <w:rFonts w:hint="eastAsia" w:ascii="宋体" w:hAnsi="宋体" w:eastAsia="宋体"/>
          <w:kern w:val="0"/>
          <w:sz w:val="21"/>
          <w:szCs w:val="21"/>
        </w:rPr>
        <w:t>下列术语和定义适用于本文件。</w:t>
      </w:r>
    </w:p>
    <w:p>
      <w:pPr>
        <w:pStyle w:val="6"/>
        <w:spacing w:before="0" w:beforeAutospacing="0" w:after="0" w:afterAutospacing="0" w:line="360" w:lineRule="exact"/>
        <w:rPr>
          <w:rStyle w:val="10"/>
          <w:bCs/>
          <w:sz w:val="21"/>
          <w:szCs w:val="21"/>
        </w:rPr>
      </w:pPr>
      <w:r>
        <w:rPr>
          <w:rStyle w:val="10"/>
          <w:bCs/>
          <w:sz w:val="21"/>
          <w:szCs w:val="21"/>
        </w:rPr>
        <w:t xml:space="preserve">3.1 </w:t>
      </w:r>
    </w:p>
    <w:p>
      <w:pPr>
        <w:pStyle w:val="6"/>
        <w:spacing w:before="0" w:beforeAutospacing="0" w:after="0" w:afterAutospacing="0" w:line="360" w:lineRule="exact"/>
        <w:rPr>
          <w:rStyle w:val="10"/>
          <w:bCs/>
          <w:sz w:val="21"/>
          <w:szCs w:val="21"/>
        </w:rPr>
      </w:pPr>
      <w:r>
        <w:rPr>
          <w:rStyle w:val="10"/>
          <w:rFonts w:hint="eastAsia"/>
          <w:bCs/>
          <w:sz w:val="21"/>
          <w:szCs w:val="21"/>
        </w:rPr>
        <w:t>稻茬小麦</w:t>
      </w:r>
    </w:p>
    <w:p>
      <w:pPr>
        <w:pStyle w:val="6"/>
        <w:spacing w:before="0" w:beforeAutospacing="0" w:after="0" w:afterAutospacing="0" w:line="360" w:lineRule="exact"/>
        <w:rPr>
          <w:kern w:val="2"/>
          <w:sz w:val="21"/>
          <w:szCs w:val="21"/>
        </w:rPr>
      </w:pPr>
      <w:r>
        <w:rPr>
          <w:rFonts w:hint="eastAsia"/>
          <w:kern w:val="2"/>
          <w:sz w:val="21"/>
          <w:szCs w:val="21"/>
        </w:rPr>
        <w:t xml:space="preserve"> </w:t>
      </w:r>
      <w:r>
        <w:rPr>
          <w:kern w:val="2"/>
          <w:sz w:val="21"/>
          <w:szCs w:val="21"/>
        </w:rPr>
        <w:t xml:space="preserve">   </w:t>
      </w:r>
      <w:r>
        <w:rPr>
          <w:rFonts w:hint="eastAsia"/>
          <w:kern w:val="2"/>
          <w:sz w:val="21"/>
          <w:szCs w:val="21"/>
        </w:rPr>
        <w:t>稻麦两熟地区，收获水稻后种植的小麦。</w:t>
      </w:r>
    </w:p>
    <w:p>
      <w:pPr>
        <w:pStyle w:val="6"/>
        <w:spacing w:before="0" w:beforeAutospacing="0" w:after="0" w:afterAutospacing="0" w:line="360" w:lineRule="exact"/>
        <w:rPr>
          <w:rStyle w:val="10"/>
          <w:bCs/>
          <w:sz w:val="21"/>
          <w:szCs w:val="21"/>
        </w:rPr>
      </w:pPr>
      <w:r>
        <w:rPr>
          <w:rStyle w:val="10"/>
          <w:bCs/>
          <w:sz w:val="21"/>
          <w:szCs w:val="21"/>
        </w:rPr>
        <w:t xml:space="preserve">3.2 </w:t>
      </w:r>
    </w:p>
    <w:p>
      <w:pPr>
        <w:pStyle w:val="6"/>
        <w:spacing w:before="0" w:beforeAutospacing="0" w:after="0" w:afterAutospacing="0" w:line="360" w:lineRule="exact"/>
        <w:rPr>
          <w:rStyle w:val="10"/>
          <w:bCs/>
          <w:sz w:val="21"/>
          <w:szCs w:val="21"/>
        </w:rPr>
      </w:pPr>
      <w:r>
        <w:rPr>
          <w:rStyle w:val="10"/>
          <w:rFonts w:hint="eastAsia"/>
          <w:bCs/>
          <w:sz w:val="21"/>
          <w:szCs w:val="21"/>
        </w:rPr>
        <w:t>机播</w:t>
      </w:r>
    </w:p>
    <w:p>
      <w:pPr>
        <w:pStyle w:val="6"/>
        <w:spacing w:before="0" w:beforeAutospacing="0" w:after="0" w:afterAutospacing="0" w:line="360" w:lineRule="exact"/>
        <w:ind w:firstLine="420" w:firstLineChars="200"/>
        <w:rPr>
          <w:kern w:val="2"/>
          <w:sz w:val="21"/>
          <w:szCs w:val="21"/>
        </w:rPr>
      </w:pPr>
      <w:r>
        <w:rPr>
          <w:rFonts w:hint="eastAsia"/>
          <w:kern w:val="2"/>
          <w:sz w:val="21"/>
          <w:szCs w:val="21"/>
        </w:rPr>
        <w:t>利用播种机械将种子按一定方式播种的方法。</w:t>
      </w:r>
    </w:p>
    <w:p>
      <w:pPr>
        <w:pStyle w:val="6"/>
        <w:spacing w:before="0" w:beforeAutospacing="0" w:after="0" w:afterAutospacing="0" w:line="360" w:lineRule="exact"/>
        <w:rPr>
          <w:rStyle w:val="10"/>
          <w:bCs/>
          <w:sz w:val="21"/>
          <w:szCs w:val="21"/>
        </w:rPr>
      </w:pPr>
      <w:r>
        <w:rPr>
          <w:rStyle w:val="10"/>
          <w:rFonts w:hint="eastAsia"/>
          <w:bCs/>
          <w:sz w:val="21"/>
          <w:szCs w:val="21"/>
        </w:rPr>
        <w:t>3</w:t>
      </w:r>
      <w:r>
        <w:rPr>
          <w:rStyle w:val="10"/>
          <w:bCs/>
          <w:sz w:val="21"/>
          <w:szCs w:val="21"/>
        </w:rPr>
        <w:t>.3</w:t>
      </w:r>
    </w:p>
    <w:p>
      <w:pPr>
        <w:pStyle w:val="6"/>
        <w:spacing w:before="0" w:beforeAutospacing="0" w:after="0" w:afterAutospacing="0" w:line="360" w:lineRule="exact"/>
        <w:rPr>
          <w:rStyle w:val="10"/>
          <w:bCs/>
          <w:sz w:val="21"/>
          <w:szCs w:val="21"/>
        </w:rPr>
      </w:pPr>
      <w:r>
        <w:rPr>
          <w:rStyle w:val="10"/>
          <w:rFonts w:hint="eastAsia"/>
          <w:bCs/>
          <w:sz w:val="21"/>
          <w:szCs w:val="21"/>
        </w:rPr>
        <w:t>渍害</w:t>
      </w:r>
    </w:p>
    <w:p>
      <w:pPr>
        <w:pStyle w:val="6"/>
        <w:spacing w:before="0" w:beforeAutospacing="0" w:after="0" w:afterAutospacing="0" w:line="360" w:lineRule="exact"/>
        <w:ind w:firstLine="420" w:firstLineChars="200"/>
        <w:rPr>
          <w:kern w:val="2"/>
          <w:sz w:val="21"/>
          <w:szCs w:val="21"/>
        </w:rPr>
      </w:pPr>
      <w:r>
        <w:rPr>
          <w:kern w:val="2"/>
          <w:sz w:val="21"/>
          <w:szCs w:val="21"/>
        </w:rPr>
        <w:t>也叫湿害，农业灾害的一种，是指因长期阴雨，地下水位升高及洪、涝灾过后排水不良等，使作物根层土壤持续处在过湿状态，</w:t>
      </w:r>
      <w:r>
        <w:rPr>
          <w:rFonts w:hint="eastAsia"/>
          <w:kern w:val="2"/>
          <w:sz w:val="21"/>
          <w:szCs w:val="21"/>
        </w:rPr>
        <w:t>而危害作物正常生长的灾害。</w:t>
      </w:r>
    </w:p>
    <w:p>
      <w:pPr>
        <w:pStyle w:val="6"/>
        <w:spacing w:before="240" w:beforeAutospacing="0" w:after="0" w:afterAutospacing="0" w:line="360" w:lineRule="exact"/>
        <w:rPr>
          <w:rStyle w:val="10"/>
          <w:bCs/>
          <w:sz w:val="21"/>
          <w:szCs w:val="21"/>
        </w:rPr>
      </w:pPr>
      <w:r>
        <w:rPr>
          <w:rStyle w:val="10"/>
          <w:bCs/>
          <w:sz w:val="21"/>
          <w:szCs w:val="21"/>
        </w:rPr>
        <w:t xml:space="preserve">4 </w:t>
      </w:r>
      <w:r>
        <w:rPr>
          <w:rStyle w:val="10"/>
          <w:rFonts w:hint="eastAsia"/>
          <w:bCs/>
          <w:sz w:val="21"/>
          <w:szCs w:val="21"/>
        </w:rPr>
        <w:t>主要技术指标</w:t>
      </w:r>
    </w:p>
    <w:p>
      <w:pPr>
        <w:pStyle w:val="6"/>
        <w:spacing w:before="0" w:beforeAutospacing="0" w:after="0" w:afterAutospacing="0" w:line="360" w:lineRule="exact"/>
        <w:rPr>
          <w:rStyle w:val="10"/>
          <w:bCs/>
          <w:sz w:val="21"/>
          <w:szCs w:val="21"/>
        </w:rPr>
      </w:pPr>
      <w:r>
        <w:rPr>
          <w:rStyle w:val="10"/>
          <w:bCs/>
          <w:sz w:val="21"/>
          <w:szCs w:val="21"/>
        </w:rPr>
        <w:t xml:space="preserve">4.1 </w:t>
      </w:r>
      <w:r>
        <w:rPr>
          <w:rStyle w:val="10"/>
          <w:rFonts w:hint="eastAsia"/>
          <w:bCs/>
          <w:sz w:val="21"/>
          <w:szCs w:val="21"/>
        </w:rPr>
        <w:t>产量结构</w:t>
      </w:r>
    </w:p>
    <w:p>
      <w:pPr>
        <w:pStyle w:val="6"/>
        <w:spacing w:before="0" w:beforeAutospacing="0" w:after="0" w:afterAutospacing="0" w:line="360" w:lineRule="exact"/>
        <w:ind w:firstLine="420" w:firstLineChars="200"/>
        <w:rPr>
          <w:rFonts w:cs="Times New Roman"/>
          <w:sz w:val="21"/>
          <w:szCs w:val="21"/>
        </w:rPr>
      </w:pPr>
      <w:r>
        <w:rPr>
          <w:rFonts w:hint="eastAsia" w:cs="Times New Roman"/>
          <w:sz w:val="21"/>
          <w:szCs w:val="21"/>
        </w:rPr>
        <w:t>在本规程中指小麦产量在450kg/</w:t>
      </w:r>
      <w:r>
        <w:rPr>
          <w:sz w:val="21"/>
          <w:szCs w:val="21"/>
        </w:rPr>
        <w:t>667m</w:t>
      </w:r>
      <w:r>
        <w:rPr>
          <w:sz w:val="21"/>
          <w:szCs w:val="21"/>
          <w:vertAlign w:val="superscript"/>
        </w:rPr>
        <w:t>2</w:t>
      </w:r>
      <w:r>
        <w:rPr>
          <w:rFonts w:hint="eastAsia" w:cs="Times New Roman"/>
          <w:sz w:val="21"/>
          <w:szCs w:val="21"/>
        </w:rPr>
        <w:t>以上，适宜的穗粒结构为：</w:t>
      </w:r>
      <w:r>
        <w:rPr>
          <w:rFonts w:cs="Times New Roman"/>
          <w:sz w:val="21"/>
          <w:szCs w:val="21"/>
        </w:rPr>
        <w:t>30</w:t>
      </w:r>
      <w:r>
        <w:rPr>
          <w:rFonts w:hint="eastAsia" w:cs="Times New Roman"/>
          <w:sz w:val="21"/>
          <w:szCs w:val="21"/>
        </w:rPr>
        <w:t>～</w:t>
      </w:r>
      <w:r>
        <w:rPr>
          <w:rFonts w:cs="Times New Roman"/>
          <w:sz w:val="21"/>
          <w:szCs w:val="21"/>
        </w:rPr>
        <w:t>35</w:t>
      </w:r>
      <w:r>
        <w:rPr>
          <w:rFonts w:hint="eastAsia" w:cs="Times New Roman"/>
          <w:sz w:val="21"/>
          <w:szCs w:val="21"/>
        </w:rPr>
        <w:t>万穗</w:t>
      </w:r>
      <w:r>
        <w:rPr>
          <w:rFonts w:hint="eastAsia"/>
          <w:sz w:val="21"/>
          <w:szCs w:val="21"/>
        </w:rPr>
        <w:t>/</w:t>
      </w:r>
      <w:r>
        <w:rPr>
          <w:sz w:val="21"/>
          <w:szCs w:val="21"/>
        </w:rPr>
        <w:t>667m</w:t>
      </w:r>
      <w:r>
        <w:rPr>
          <w:sz w:val="21"/>
          <w:szCs w:val="21"/>
          <w:vertAlign w:val="superscript"/>
        </w:rPr>
        <w:t>2</w:t>
      </w:r>
      <w:r>
        <w:rPr>
          <w:rFonts w:hint="eastAsia" w:cs="Times New Roman"/>
          <w:sz w:val="21"/>
          <w:szCs w:val="21"/>
        </w:rPr>
        <w:t>、3</w:t>
      </w:r>
      <w:r>
        <w:rPr>
          <w:rFonts w:cs="Times New Roman"/>
          <w:sz w:val="21"/>
          <w:szCs w:val="21"/>
        </w:rPr>
        <w:t>5</w:t>
      </w:r>
      <w:r>
        <w:rPr>
          <w:rFonts w:hint="eastAsia" w:cs="Times New Roman"/>
          <w:sz w:val="21"/>
          <w:szCs w:val="21"/>
        </w:rPr>
        <w:t>～</w:t>
      </w:r>
      <w:r>
        <w:rPr>
          <w:rFonts w:cs="Times New Roman"/>
          <w:sz w:val="21"/>
          <w:szCs w:val="21"/>
        </w:rPr>
        <w:t>40</w:t>
      </w:r>
      <w:r>
        <w:rPr>
          <w:rFonts w:hint="eastAsia" w:cs="Times New Roman"/>
          <w:sz w:val="21"/>
          <w:szCs w:val="21"/>
        </w:rPr>
        <w:t>粒</w:t>
      </w:r>
      <w:r>
        <w:rPr>
          <w:rFonts w:cs="Times New Roman"/>
          <w:sz w:val="21"/>
          <w:szCs w:val="21"/>
        </w:rPr>
        <w:t>/</w:t>
      </w:r>
      <w:r>
        <w:rPr>
          <w:rFonts w:hint="eastAsia" w:cs="Times New Roman"/>
          <w:sz w:val="21"/>
          <w:szCs w:val="21"/>
        </w:rPr>
        <w:t>穗、千粒重38～</w:t>
      </w:r>
      <w:r>
        <w:rPr>
          <w:rFonts w:cs="Times New Roman"/>
          <w:sz w:val="21"/>
          <w:szCs w:val="21"/>
        </w:rPr>
        <w:t>4</w:t>
      </w:r>
      <w:r>
        <w:rPr>
          <w:rFonts w:hint="eastAsia" w:cs="Times New Roman"/>
          <w:sz w:val="21"/>
          <w:szCs w:val="21"/>
        </w:rPr>
        <w:t>5</w:t>
      </w:r>
      <w:r>
        <w:rPr>
          <w:rFonts w:cs="Times New Roman"/>
          <w:sz w:val="21"/>
          <w:szCs w:val="21"/>
        </w:rPr>
        <w:t xml:space="preserve"> g</w:t>
      </w:r>
      <w:r>
        <w:rPr>
          <w:rFonts w:hint="eastAsia" w:cs="Times New Roman"/>
          <w:sz w:val="21"/>
          <w:szCs w:val="21"/>
        </w:rPr>
        <w:t>。</w:t>
      </w:r>
    </w:p>
    <w:p>
      <w:pPr>
        <w:pStyle w:val="6"/>
        <w:spacing w:before="0" w:beforeAutospacing="0" w:after="0" w:afterAutospacing="0" w:line="360" w:lineRule="exact"/>
        <w:rPr>
          <w:rStyle w:val="10"/>
          <w:bCs/>
          <w:sz w:val="21"/>
          <w:szCs w:val="21"/>
        </w:rPr>
      </w:pPr>
      <w:r>
        <w:rPr>
          <w:rStyle w:val="10"/>
          <w:bCs/>
          <w:sz w:val="21"/>
          <w:szCs w:val="21"/>
        </w:rPr>
        <w:t>4.</w:t>
      </w:r>
      <w:r>
        <w:rPr>
          <w:rStyle w:val="10"/>
          <w:rFonts w:hint="eastAsia"/>
          <w:bCs/>
          <w:sz w:val="21"/>
          <w:szCs w:val="21"/>
        </w:rPr>
        <w:t>2</w:t>
      </w:r>
      <w:r>
        <w:rPr>
          <w:rStyle w:val="10"/>
          <w:bCs/>
          <w:sz w:val="21"/>
          <w:szCs w:val="21"/>
        </w:rPr>
        <w:t xml:space="preserve"> </w:t>
      </w:r>
      <w:r>
        <w:rPr>
          <w:rStyle w:val="10"/>
          <w:rFonts w:hint="eastAsia"/>
          <w:bCs/>
          <w:sz w:val="21"/>
          <w:szCs w:val="21"/>
        </w:rPr>
        <w:t>群体质量</w:t>
      </w:r>
    </w:p>
    <w:p>
      <w:pPr>
        <w:pStyle w:val="6"/>
        <w:spacing w:before="0" w:beforeAutospacing="0" w:after="0" w:afterAutospacing="0" w:line="360" w:lineRule="exact"/>
        <w:ind w:firstLine="420" w:firstLineChars="200"/>
        <w:rPr>
          <w:rFonts w:cs="Times New Roman"/>
          <w:sz w:val="21"/>
          <w:szCs w:val="21"/>
        </w:rPr>
      </w:pPr>
      <w:r>
        <w:rPr>
          <w:rFonts w:hint="eastAsia" w:cs="Times New Roman"/>
          <w:sz w:val="21"/>
          <w:szCs w:val="21"/>
        </w:rPr>
        <w:t>一般冬前茎蘖数为最终成穗数的</w:t>
      </w:r>
      <w:r>
        <w:rPr>
          <w:rFonts w:cs="Times New Roman"/>
          <w:sz w:val="21"/>
          <w:szCs w:val="21"/>
        </w:rPr>
        <w:t>1.2</w:t>
      </w:r>
      <w:r>
        <w:rPr>
          <w:rFonts w:hint="eastAsia" w:cs="Times New Roman"/>
          <w:sz w:val="21"/>
          <w:szCs w:val="21"/>
        </w:rPr>
        <w:t>～</w:t>
      </w:r>
      <w:r>
        <w:rPr>
          <w:rFonts w:cs="Times New Roman"/>
          <w:sz w:val="21"/>
          <w:szCs w:val="21"/>
        </w:rPr>
        <w:t>1.4</w:t>
      </w:r>
      <w:r>
        <w:rPr>
          <w:rFonts w:hint="eastAsia" w:cs="Times New Roman"/>
          <w:sz w:val="21"/>
          <w:szCs w:val="21"/>
        </w:rPr>
        <w:t>倍、高峰苗为最终成穗数的</w:t>
      </w:r>
      <w:r>
        <w:rPr>
          <w:rFonts w:cs="Times New Roman"/>
          <w:sz w:val="21"/>
          <w:szCs w:val="21"/>
        </w:rPr>
        <w:t>2</w:t>
      </w:r>
      <w:r>
        <w:rPr>
          <w:rFonts w:hint="eastAsia" w:cs="Times New Roman"/>
          <w:sz w:val="21"/>
          <w:szCs w:val="21"/>
        </w:rPr>
        <w:t>～</w:t>
      </w:r>
      <w:r>
        <w:rPr>
          <w:rFonts w:cs="Times New Roman"/>
          <w:sz w:val="21"/>
          <w:szCs w:val="21"/>
        </w:rPr>
        <w:t>2.5</w:t>
      </w:r>
      <w:r>
        <w:rPr>
          <w:rFonts w:hint="eastAsia" w:cs="Times New Roman"/>
          <w:sz w:val="21"/>
          <w:szCs w:val="21"/>
        </w:rPr>
        <w:t>倍。适宜的群体动态为：适期播种的基本苗</w:t>
      </w:r>
      <w:r>
        <w:rPr>
          <w:rFonts w:cs="Times New Roman"/>
          <w:sz w:val="21"/>
          <w:szCs w:val="21"/>
        </w:rPr>
        <w:t>16</w:t>
      </w:r>
      <w:r>
        <w:rPr>
          <w:rFonts w:hint="eastAsia" w:cs="Times New Roman"/>
          <w:sz w:val="21"/>
          <w:szCs w:val="21"/>
        </w:rPr>
        <w:t>万～</w:t>
      </w:r>
      <w:r>
        <w:rPr>
          <w:rFonts w:cs="Times New Roman"/>
          <w:sz w:val="21"/>
          <w:szCs w:val="21"/>
        </w:rPr>
        <w:t>20</w:t>
      </w:r>
      <w:r>
        <w:rPr>
          <w:rFonts w:hint="eastAsia" w:cs="Times New Roman"/>
          <w:sz w:val="21"/>
          <w:szCs w:val="21"/>
        </w:rPr>
        <w:t>万</w:t>
      </w:r>
      <w:r>
        <w:rPr>
          <w:rStyle w:val="10"/>
          <w:rFonts w:hint="eastAsia"/>
          <w:bCs/>
          <w:sz w:val="21"/>
          <w:szCs w:val="21"/>
        </w:rPr>
        <w:t>/</w:t>
      </w:r>
      <w:r>
        <w:rPr>
          <w:sz w:val="21"/>
          <w:szCs w:val="21"/>
        </w:rPr>
        <w:t>667m</w:t>
      </w:r>
      <w:r>
        <w:rPr>
          <w:sz w:val="21"/>
          <w:szCs w:val="21"/>
          <w:vertAlign w:val="superscript"/>
        </w:rPr>
        <w:t>2</w:t>
      </w:r>
      <w:r>
        <w:rPr>
          <w:rFonts w:hint="eastAsia" w:cs="Times New Roman"/>
          <w:sz w:val="21"/>
          <w:szCs w:val="21"/>
        </w:rPr>
        <w:t>；冬前茎蘖数</w:t>
      </w:r>
      <w:r>
        <w:rPr>
          <w:rFonts w:cs="Times New Roman"/>
          <w:sz w:val="21"/>
          <w:szCs w:val="21"/>
        </w:rPr>
        <w:t>35</w:t>
      </w:r>
      <w:r>
        <w:rPr>
          <w:rFonts w:hint="eastAsia" w:cs="Times New Roman"/>
          <w:sz w:val="21"/>
          <w:szCs w:val="21"/>
        </w:rPr>
        <w:t>万～</w:t>
      </w:r>
      <w:r>
        <w:rPr>
          <w:rFonts w:cs="Times New Roman"/>
          <w:sz w:val="21"/>
          <w:szCs w:val="21"/>
        </w:rPr>
        <w:t>40</w:t>
      </w:r>
      <w:r>
        <w:rPr>
          <w:rFonts w:hint="eastAsia" w:cs="Times New Roman"/>
          <w:sz w:val="21"/>
          <w:szCs w:val="21"/>
        </w:rPr>
        <w:t>万</w:t>
      </w:r>
      <w:r>
        <w:rPr>
          <w:rStyle w:val="10"/>
          <w:rFonts w:hint="eastAsia"/>
          <w:bCs/>
          <w:sz w:val="21"/>
          <w:szCs w:val="21"/>
        </w:rPr>
        <w:t>/</w:t>
      </w:r>
      <w:r>
        <w:rPr>
          <w:sz w:val="21"/>
          <w:szCs w:val="21"/>
        </w:rPr>
        <w:t>667m</w:t>
      </w:r>
      <w:r>
        <w:rPr>
          <w:sz w:val="21"/>
          <w:szCs w:val="21"/>
          <w:vertAlign w:val="superscript"/>
        </w:rPr>
        <w:t>2</w:t>
      </w:r>
      <w:r>
        <w:rPr>
          <w:rFonts w:hint="eastAsia" w:cs="Times New Roman"/>
          <w:sz w:val="21"/>
          <w:szCs w:val="21"/>
        </w:rPr>
        <w:t>，单株分蘖</w:t>
      </w:r>
      <w:r>
        <w:rPr>
          <w:rFonts w:cs="Times New Roman"/>
          <w:sz w:val="21"/>
          <w:szCs w:val="21"/>
        </w:rPr>
        <w:t>1</w:t>
      </w:r>
      <w:r>
        <w:rPr>
          <w:rFonts w:hint="eastAsia" w:cs="Times New Roman"/>
          <w:sz w:val="21"/>
          <w:szCs w:val="21"/>
        </w:rPr>
        <w:t>～</w:t>
      </w:r>
      <w:r>
        <w:rPr>
          <w:rFonts w:cs="Times New Roman"/>
          <w:sz w:val="21"/>
          <w:szCs w:val="21"/>
        </w:rPr>
        <w:t>2</w:t>
      </w:r>
      <w:r>
        <w:rPr>
          <w:rFonts w:hint="eastAsia" w:cs="Times New Roman"/>
          <w:sz w:val="21"/>
          <w:szCs w:val="21"/>
        </w:rPr>
        <w:t>个；最大总茎蘖数（高峰苗）</w:t>
      </w:r>
      <w:r>
        <w:rPr>
          <w:rFonts w:cs="Times New Roman"/>
          <w:sz w:val="21"/>
          <w:szCs w:val="21"/>
        </w:rPr>
        <w:t>60</w:t>
      </w:r>
      <w:r>
        <w:rPr>
          <w:rFonts w:hint="eastAsia" w:cs="Times New Roman"/>
          <w:sz w:val="21"/>
          <w:szCs w:val="21"/>
        </w:rPr>
        <w:t>万～</w:t>
      </w:r>
      <w:r>
        <w:rPr>
          <w:rFonts w:cs="Times New Roman"/>
          <w:sz w:val="21"/>
          <w:szCs w:val="21"/>
        </w:rPr>
        <w:t>90</w:t>
      </w:r>
      <w:r>
        <w:rPr>
          <w:rFonts w:hint="eastAsia" w:cs="Times New Roman"/>
          <w:sz w:val="21"/>
          <w:szCs w:val="21"/>
        </w:rPr>
        <w:t>万</w:t>
      </w:r>
      <w:r>
        <w:rPr>
          <w:rStyle w:val="10"/>
          <w:rFonts w:hint="eastAsia"/>
          <w:bCs/>
          <w:sz w:val="21"/>
          <w:szCs w:val="21"/>
        </w:rPr>
        <w:t>/</w:t>
      </w:r>
      <w:r>
        <w:rPr>
          <w:sz w:val="21"/>
          <w:szCs w:val="21"/>
        </w:rPr>
        <w:t>667m</w:t>
      </w:r>
      <w:r>
        <w:rPr>
          <w:sz w:val="21"/>
          <w:szCs w:val="21"/>
          <w:vertAlign w:val="superscript"/>
        </w:rPr>
        <w:t>2</w:t>
      </w:r>
      <w:r>
        <w:rPr>
          <w:rFonts w:hint="eastAsia" w:cs="Times New Roman"/>
          <w:sz w:val="21"/>
          <w:szCs w:val="21"/>
        </w:rPr>
        <w:t>。</w:t>
      </w:r>
    </w:p>
    <w:p>
      <w:pPr>
        <w:pStyle w:val="6"/>
        <w:spacing w:before="0" w:beforeAutospacing="0" w:after="0" w:afterAutospacing="0" w:line="360" w:lineRule="exact"/>
        <w:rPr>
          <w:rStyle w:val="10"/>
          <w:bCs/>
          <w:sz w:val="21"/>
          <w:szCs w:val="21"/>
        </w:rPr>
      </w:pPr>
      <w:r>
        <w:rPr>
          <w:rStyle w:val="10"/>
          <w:bCs/>
          <w:sz w:val="21"/>
          <w:szCs w:val="21"/>
        </w:rPr>
        <w:t>4.</w:t>
      </w:r>
      <w:r>
        <w:rPr>
          <w:rStyle w:val="10"/>
          <w:rFonts w:hint="eastAsia"/>
          <w:bCs/>
          <w:sz w:val="21"/>
          <w:szCs w:val="21"/>
        </w:rPr>
        <w:t>3目标效益</w:t>
      </w:r>
    </w:p>
    <w:p>
      <w:pPr>
        <w:pStyle w:val="6"/>
        <w:spacing w:before="0" w:beforeAutospacing="0" w:after="0" w:afterAutospacing="0" w:line="360" w:lineRule="exact"/>
        <w:ind w:firstLine="420" w:firstLineChars="200"/>
        <w:rPr>
          <w:rFonts w:cs="Times New Roman"/>
          <w:sz w:val="21"/>
          <w:szCs w:val="21"/>
        </w:rPr>
      </w:pPr>
      <w:r>
        <w:rPr>
          <w:rFonts w:hint="eastAsia" w:cs="Times New Roman"/>
          <w:sz w:val="21"/>
          <w:szCs w:val="21"/>
        </w:rPr>
        <w:t>与当地常规技术相比，增产5～10%，节本5～10%。</w:t>
      </w:r>
    </w:p>
    <w:p>
      <w:pPr>
        <w:pStyle w:val="6"/>
        <w:spacing w:before="240" w:beforeAutospacing="0" w:after="0" w:afterAutospacing="0" w:line="360" w:lineRule="exact"/>
        <w:rPr>
          <w:rStyle w:val="10"/>
          <w:b w:val="0"/>
          <w:sz w:val="21"/>
          <w:szCs w:val="21"/>
        </w:rPr>
      </w:pPr>
      <w:r>
        <w:rPr>
          <w:rStyle w:val="10"/>
          <w:b w:val="0"/>
          <w:sz w:val="21"/>
          <w:szCs w:val="21"/>
        </w:rPr>
        <w:t>5 栽培技术</w:t>
      </w:r>
    </w:p>
    <w:p>
      <w:pPr>
        <w:widowControl/>
        <w:spacing w:line="360" w:lineRule="exact"/>
        <w:jc w:val="left"/>
        <w:rPr>
          <w:rFonts w:ascii="宋体" w:hAnsi="宋体" w:eastAsia="宋体"/>
          <w:b/>
          <w:bCs/>
          <w:kern w:val="0"/>
          <w:sz w:val="21"/>
          <w:szCs w:val="21"/>
        </w:rPr>
      </w:pPr>
      <w:r>
        <w:rPr>
          <w:rFonts w:ascii="宋体" w:hAnsi="宋体" w:eastAsia="宋体"/>
          <w:b/>
          <w:bCs/>
          <w:kern w:val="0"/>
          <w:sz w:val="21"/>
          <w:szCs w:val="21"/>
        </w:rPr>
        <w:t>5</w:t>
      </w:r>
      <w:r>
        <w:rPr>
          <w:rFonts w:hint="eastAsia" w:ascii="宋体" w:hAnsi="宋体" w:eastAsia="宋体"/>
          <w:b/>
          <w:bCs/>
          <w:kern w:val="0"/>
          <w:sz w:val="21"/>
          <w:szCs w:val="21"/>
        </w:rPr>
        <w:t>．1</w:t>
      </w:r>
      <w:r>
        <w:rPr>
          <w:rFonts w:ascii="宋体" w:hAnsi="宋体" w:eastAsia="宋体"/>
          <w:b/>
          <w:bCs/>
          <w:kern w:val="0"/>
          <w:sz w:val="21"/>
          <w:szCs w:val="21"/>
        </w:rPr>
        <w:t xml:space="preserve"> </w:t>
      </w:r>
      <w:r>
        <w:rPr>
          <w:rFonts w:hint="eastAsia" w:ascii="宋体" w:hAnsi="宋体" w:eastAsia="宋体"/>
          <w:b/>
          <w:bCs/>
          <w:kern w:val="0"/>
          <w:sz w:val="21"/>
          <w:szCs w:val="21"/>
        </w:rPr>
        <w:t>播前准备</w:t>
      </w:r>
    </w:p>
    <w:p>
      <w:pPr>
        <w:widowControl/>
        <w:spacing w:line="360" w:lineRule="exact"/>
        <w:jc w:val="left"/>
        <w:rPr>
          <w:rFonts w:ascii="宋体" w:hAnsi="宋体" w:eastAsia="宋体"/>
          <w:b/>
          <w:bCs/>
          <w:kern w:val="0"/>
          <w:sz w:val="21"/>
          <w:szCs w:val="21"/>
        </w:rPr>
      </w:pPr>
      <w:r>
        <w:rPr>
          <w:rFonts w:ascii="宋体" w:hAnsi="宋体" w:eastAsia="宋体"/>
          <w:b/>
          <w:bCs/>
          <w:kern w:val="0"/>
          <w:sz w:val="21"/>
          <w:szCs w:val="21"/>
        </w:rPr>
        <w:t>5.1.1</w:t>
      </w:r>
      <w:r>
        <w:rPr>
          <w:rFonts w:hint="eastAsia" w:ascii="宋体" w:hAnsi="宋体" w:eastAsia="宋体"/>
          <w:b/>
          <w:bCs/>
          <w:kern w:val="0"/>
          <w:sz w:val="21"/>
          <w:szCs w:val="21"/>
        </w:rPr>
        <w:t>水稻秸秆全量还田技术</w:t>
      </w:r>
    </w:p>
    <w:p>
      <w:pPr>
        <w:widowControl/>
        <w:spacing w:line="360" w:lineRule="exact"/>
        <w:ind w:firstLine="420" w:firstLineChars="200"/>
        <w:jc w:val="left"/>
        <w:rPr>
          <w:rStyle w:val="10"/>
          <w:rFonts w:eastAsia="宋体"/>
          <w:b w:val="0"/>
          <w:bCs/>
          <w:kern w:val="0"/>
          <w:sz w:val="21"/>
          <w:szCs w:val="21"/>
        </w:rPr>
      </w:pPr>
      <w:r>
        <w:rPr>
          <w:rStyle w:val="10"/>
          <w:rFonts w:hint="eastAsia" w:eastAsia="宋体"/>
          <w:b w:val="0"/>
          <w:bCs/>
          <w:kern w:val="0"/>
          <w:sz w:val="21"/>
          <w:szCs w:val="21"/>
        </w:rPr>
        <w:t>水稻成熟前</w:t>
      </w:r>
      <w:r>
        <w:rPr>
          <w:rStyle w:val="10"/>
          <w:rFonts w:eastAsia="宋体"/>
          <w:b w:val="0"/>
          <w:bCs/>
          <w:kern w:val="0"/>
          <w:sz w:val="21"/>
          <w:szCs w:val="21"/>
        </w:rPr>
        <w:t>10 d</w:t>
      </w:r>
      <w:r>
        <w:rPr>
          <w:rStyle w:val="10"/>
          <w:rFonts w:hint="eastAsia" w:eastAsia="宋体"/>
          <w:b w:val="0"/>
          <w:bCs/>
          <w:kern w:val="0"/>
          <w:sz w:val="21"/>
          <w:szCs w:val="21"/>
        </w:rPr>
        <w:t>～</w:t>
      </w:r>
      <w:r>
        <w:rPr>
          <w:rStyle w:val="10"/>
          <w:rFonts w:eastAsia="宋体"/>
          <w:b w:val="0"/>
          <w:bCs/>
          <w:kern w:val="0"/>
          <w:sz w:val="21"/>
          <w:szCs w:val="21"/>
        </w:rPr>
        <w:t>15 d</w:t>
      </w:r>
      <w:r>
        <w:rPr>
          <w:rStyle w:val="10"/>
          <w:rFonts w:hint="eastAsia" w:eastAsia="宋体"/>
          <w:b w:val="0"/>
          <w:bCs/>
          <w:kern w:val="0"/>
          <w:sz w:val="21"/>
          <w:szCs w:val="21"/>
        </w:rPr>
        <w:t>排干稻田积水，适时收获水稻。采用半喂入式水稻收获机，留茬高度低于</w:t>
      </w:r>
      <w:r>
        <w:rPr>
          <w:rStyle w:val="10"/>
          <w:rFonts w:eastAsia="宋体"/>
          <w:b w:val="0"/>
          <w:bCs/>
          <w:kern w:val="0"/>
          <w:sz w:val="21"/>
          <w:szCs w:val="21"/>
        </w:rPr>
        <w:t>15 cm</w:t>
      </w:r>
      <w:r>
        <w:rPr>
          <w:rStyle w:val="10"/>
          <w:rFonts w:hint="eastAsia" w:eastAsia="宋体"/>
          <w:b w:val="0"/>
          <w:bCs/>
          <w:kern w:val="0"/>
          <w:sz w:val="21"/>
          <w:szCs w:val="21"/>
        </w:rPr>
        <w:t>，秸秆切碎还田，秸秆长度不超过</w:t>
      </w:r>
      <w:r>
        <w:rPr>
          <w:rStyle w:val="10"/>
          <w:rFonts w:eastAsia="宋体"/>
          <w:b w:val="0"/>
          <w:bCs/>
          <w:kern w:val="0"/>
          <w:sz w:val="21"/>
          <w:szCs w:val="21"/>
        </w:rPr>
        <w:t>10 cm</w:t>
      </w:r>
      <w:r>
        <w:rPr>
          <w:rStyle w:val="10"/>
          <w:rFonts w:hint="eastAsia" w:eastAsia="宋体"/>
          <w:b w:val="0"/>
          <w:bCs/>
          <w:kern w:val="0"/>
          <w:sz w:val="21"/>
          <w:szCs w:val="21"/>
        </w:rPr>
        <w:t>，均匀抛撒匀铺。留茬高度高于</w:t>
      </w:r>
      <w:r>
        <w:rPr>
          <w:rStyle w:val="10"/>
          <w:rFonts w:eastAsia="宋体"/>
          <w:b w:val="0"/>
          <w:bCs/>
          <w:kern w:val="0"/>
          <w:sz w:val="21"/>
          <w:szCs w:val="21"/>
        </w:rPr>
        <w:t>15 cm</w:t>
      </w:r>
      <w:r>
        <w:rPr>
          <w:rStyle w:val="10"/>
          <w:rFonts w:hint="eastAsia" w:eastAsia="宋体"/>
          <w:b w:val="0"/>
          <w:bCs/>
          <w:kern w:val="0"/>
          <w:sz w:val="21"/>
          <w:szCs w:val="21"/>
        </w:rPr>
        <w:t>，采用灭茬机粉碎秸秆。</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hint="eastAsia" w:ascii="宋体" w:hAnsi="宋体" w:eastAsia="宋体"/>
          <w:b/>
          <w:sz w:val="21"/>
          <w:szCs w:val="21"/>
        </w:rPr>
        <w:t>.1.</w:t>
      </w:r>
      <w:r>
        <w:rPr>
          <w:rFonts w:ascii="宋体" w:hAnsi="宋体" w:eastAsia="宋体"/>
          <w:b/>
          <w:sz w:val="21"/>
          <w:szCs w:val="21"/>
        </w:rPr>
        <w:t>2</w:t>
      </w:r>
      <w:r>
        <w:rPr>
          <w:rFonts w:hint="eastAsia" w:ascii="宋体" w:hAnsi="宋体" w:eastAsia="宋体"/>
          <w:b/>
          <w:sz w:val="21"/>
          <w:szCs w:val="21"/>
        </w:rPr>
        <w:t>因墒调整耕整方案</w:t>
      </w:r>
    </w:p>
    <w:p>
      <w:pPr>
        <w:spacing w:line="360" w:lineRule="exact"/>
        <w:ind w:firstLine="435"/>
        <w:rPr>
          <w:rFonts w:ascii="宋体" w:hAnsi="宋体" w:eastAsia="宋体"/>
          <w:sz w:val="21"/>
          <w:szCs w:val="21"/>
        </w:rPr>
      </w:pPr>
      <w:r>
        <w:rPr>
          <w:rFonts w:hint="eastAsia" w:ascii="宋体" w:hAnsi="宋体" w:eastAsia="宋体"/>
          <w:sz w:val="21"/>
          <w:szCs w:val="21"/>
        </w:rPr>
        <w:t>（1）土壤适墒时，在田间相对持水量为70</w:t>
      </w:r>
      <w:r>
        <w:rPr>
          <w:rFonts w:ascii="宋体" w:hAnsi="宋体" w:eastAsia="宋体"/>
          <w:sz w:val="21"/>
          <w:szCs w:val="21"/>
        </w:rPr>
        <w:t>%</w:t>
      </w:r>
      <w:r>
        <w:rPr>
          <w:rFonts w:hint="eastAsia" w:ascii="宋体" w:hAnsi="宋体" w:eastAsia="宋体"/>
          <w:sz w:val="21"/>
          <w:szCs w:val="21"/>
        </w:rPr>
        <w:t>左右时，立即用深耕或深旋方式整地，使秸秆埋深达</w:t>
      </w:r>
      <w:r>
        <w:rPr>
          <w:rFonts w:ascii="宋体" w:hAnsi="宋体" w:eastAsia="宋体"/>
          <w:sz w:val="21"/>
          <w:szCs w:val="21"/>
        </w:rPr>
        <w:t>15 cm</w:t>
      </w:r>
      <w:r>
        <w:rPr>
          <w:rFonts w:hint="eastAsia" w:ascii="宋体" w:hAnsi="宋体" w:eastAsia="宋体"/>
          <w:sz w:val="21"/>
          <w:szCs w:val="21"/>
        </w:rPr>
        <w:t>以上；（2）田间相对持水量达80～90%时，拆除部分旋切刀，浅耕浅旋；（3）若田间相对持水量超过90%，则不宜进行土壤耕整，采用多功能复式播种机，拆除播种管，均匀摆播。</w:t>
      </w:r>
    </w:p>
    <w:p>
      <w:pPr>
        <w:widowControl/>
        <w:spacing w:line="360" w:lineRule="exact"/>
        <w:jc w:val="left"/>
        <w:rPr>
          <w:rFonts w:ascii="宋体" w:hAnsi="宋体" w:eastAsia="宋体"/>
          <w:b/>
          <w:kern w:val="0"/>
          <w:sz w:val="21"/>
          <w:szCs w:val="21"/>
        </w:rPr>
      </w:pPr>
      <w:r>
        <w:rPr>
          <w:rFonts w:hint="eastAsia" w:ascii="宋体" w:hAnsi="宋体" w:eastAsia="宋体"/>
          <w:b/>
          <w:kern w:val="0"/>
          <w:sz w:val="21"/>
          <w:szCs w:val="21"/>
        </w:rPr>
        <w:t>5.1.</w:t>
      </w:r>
      <w:r>
        <w:rPr>
          <w:rFonts w:ascii="宋体" w:hAnsi="宋体" w:eastAsia="宋体"/>
          <w:b/>
          <w:kern w:val="0"/>
          <w:sz w:val="21"/>
          <w:szCs w:val="21"/>
        </w:rPr>
        <w:t xml:space="preserve">3 </w:t>
      </w:r>
      <w:r>
        <w:rPr>
          <w:rFonts w:hint="eastAsia" w:ascii="宋体" w:hAnsi="宋体" w:eastAsia="宋体"/>
          <w:b/>
          <w:kern w:val="0"/>
          <w:sz w:val="21"/>
          <w:szCs w:val="21"/>
        </w:rPr>
        <w:t>品种选择</w:t>
      </w:r>
    </w:p>
    <w:p>
      <w:pPr>
        <w:spacing w:line="360" w:lineRule="exact"/>
        <w:ind w:firstLine="435"/>
        <w:rPr>
          <w:rFonts w:ascii="宋体" w:hAnsi="宋体" w:eastAsia="宋体"/>
          <w:sz w:val="21"/>
          <w:szCs w:val="21"/>
        </w:rPr>
      </w:pPr>
      <w:r>
        <w:rPr>
          <w:rFonts w:hint="eastAsia" w:ascii="宋体" w:hAnsi="宋体" w:eastAsia="宋体"/>
          <w:sz w:val="21"/>
          <w:szCs w:val="21"/>
        </w:rPr>
        <w:t>应选择通过审定、并适宜本地区种植的耐渍、抗赤霉病、抗</w:t>
      </w:r>
      <w:r>
        <w:rPr>
          <w:rFonts w:ascii="宋体" w:hAnsi="宋体" w:eastAsia="宋体"/>
          <w:sz w:val="21"/>
          <w:szCs w:val="21"/>
        </w:rPr>
        <w:t>穗发芽等综合抗性</w:t>
      </w:r>
      <w:r>
        <w:rPr>
          <w:rFonts w:hint="eastAsia" w:ascii="宋体" w:hAnsi="宋体" w:eastAsia="宋体"/>
          <w:sz w:val="21"/>
          <w:szCs w:val="21"/>
        </w:rPr>
        <w:t>优良</w:t>
      </w:r>
      <w:r>
        <w:rPr>
          <w:rFonts w:ascii="宋体" w:hAnsi="宋体" w:eastAsia="宋体"/>
          <w:sz w:val="21"/>
          <w:szCs w:val="21"/>
        </w:rPr>
        <w:t>的</w:t>
      </w:r>
      <w:r>
        <w:rPr>
          <w:rFonts w:hint="eastAsia" w:ascii="宋体" w:hAnsi="宋体" w:eastAsia="宋体"/>
          <w:sz w:val="21"/>
          <w:szCs w:val="21"/>
        </w:rPr>
        <w:t>弱冬性或春性高产优质小麦品种。</w:t>
      </w:r>
    </w:p>
    <w:p>
      <w:pPr>
        <w:widowControl/>
        <w:spacing w:line="360" w:lineRule="exact"/>
        <w:jc w:val="left"/>
        <w:rPr>
          <w:rFonts w:ascii="宋体" w:hAnsi="宋体" w:eastAsia="宋体"/>
          <w:kern w:val="0"/>
          <w:sz w:val="21"/>
          <w:szCs w:val="21"/>
        </w:rPr>
      </w:pPr>
      <w:r>
        <w:rPr>
          <w:rFonts w:hint="eastAsia" w:ascii="宋体" w:hAnsi="宋体" w:eastAsia="宋体"/>
          <w:b/>
          <w:kern w:val="0"/>
          <w:sz w:val="21"/>
          <w:szCs w:val="21"/>
        </w:rPr>
        <w:t>5.1.</w:t>
      </w:r>
      <w:r>
        <w:rPr>
          <w:rFonts w:ascii="宋体" w:hAnsi="宋体" w:eastAsia="宋体"/>
          <w:b/>
          <w:kern w:val="0"/>
          <w:sz w:val="21"/>
          <w:szCs w:val="21"/>
        </w:rPr>
        <w:t>4</w:t>
      </w:r>
      <w:r>
        <w:rPr>
          <w:rFonts w:hint="eastAsia" w:ascii="宋体" w:hAnsi="宋体" w:eastAsia="宋体"/>
          <w:b/>
          <w:kern w:val="0"/>
          <w:sz w:val="21"/>
          <w:szCs w:val="21"/>
        </w:rPr>
        <w:t>种子处理</w:t>
      </w:r>
    </w:p>
    <w:p>
      <w:pPr>
        <w:spacing w:line="360" w:lineRule="exact"/>
        <w:ind w:firstLine="435"/>
        <w:rPr>
          <w:rFonts w:ascii="宋体" w:hAnsi="宋体" w:eastAsia="宋体"/>
          <w:sz w:val="21"/>
          <w:szCs w:val="21"/>
        </w:rPr>
      </w:pPr>
      <w:r>
        <w:rPr>
          <w:rFonts w:hint="eastAsia" w:ascii="宋体" w:hAnsi="宋体" w:eastAsia="宋体"/>
          <w:sz w:val="21"/>
          <w:szCs w:val="21"/>
        </w:rPr>
        <w:t>播前晒种，去杂、去劣、去小粒的种子，使质量符合GB 4404.1-2008粮食作物种子第1部分：禾谷类中良种要求。为控制病菌，播前宜</w:t>
      </w:r>
      <w:r>
        <w:rPr>
          <w:rFonts w:ascii="宋体" w:hAnsi="宋体" w:eastAsia="宋体"/>
          <w:sz w:val="21"/>
          <w:szCs w:val="21"/>
        </w:rPr>
        <w:t>选用适宜药剂进行拌种处理，</w:t>
      </w:r>
      <w:r>
        <w:rPr>
          <w:rFonts w:hint="eastAsia" w:ascii="宋体" w:hAnsi="宋体" w:eastAsia="宋体"/>
          <w:sz w:val="21"/>
          <w:szCs w:val="21"/>
        </w:rPr>
        <w:t>也可</w:t>
      </w:r>
      <w:r>
        <w:rPr>
          <w:rFonts w:ascii="宋体" w:hAnsi="宋体" w:eastAsia="宋体"/>
          <w:sz w:val="21"/>
          <w:szCs w:val="21"/>
        </w:rPr>
        <w:t>购买种子公司包衣种子</w:t>
      </w:r>
      <w:r>
        <w:rPr>
          <w:rFonts w:hint="eastAsia" w:ascii="宋体" w:hAnsi="宋体" w:eastAsia="宋体"/>
          <w:sz w:val="21"/>
          <w:szCs w:val="21"/>
        </w:rPr>
        <w:t>。</w:t>
      </w:r>
    </w:p>
    <w:p>
      <w:pPr>
        <w:widowControl/>
        <w:spacing w:line="360" w:lineRule="exact"/>
        <w:jc w:val="left"/>
        <w:rPr>
          <w:rFonts w:ascii="宋体" w:hAnsi="宋体" w:eastAsia="宋体"/>
          <w:b/>
          <w:kern w:val="0"/>
          <w:sz w:val="21"/>
          <w:szCs w:val="21"/>
        </w:rPr>
      </w:pPr>
      <w:r>
        <w:rPr>
          <w:rFonts w:hint="eastAsia" w:ascii="宋体" w:hAnsi="宋体" w:eastAsia="宋体"/>
          <w:b/>
          <w:kern w:val="0"/>
          <w:sz w:val="21"/>
          <w:szCs w:val="21"/>
        </w:rPr>
        <w:t>5.</w:t>
      </w:r>
      <w:r>
        <w:rPr>
          <w:rFonts w:ascii="宋体" w:hAnsi="宋体" w:eastAsia="宋体"/>
          <w:b/>
          <w:kern w:val="0"/>
          <w:sz w:val="21"/>
          <w:szCs w:val="21"/>
        </w:rPr>
        <w:t xml:space="preserve">2 </w:t>
      </w:r>
      <w:r>
        <w:rPr>
          <w:rFonts w:hint="eastAsia" w:ascii="宋体" w:hAnsi="宋体" w:eastAsia="宋体"/>
          <w:b/>
          <w:kern w:val="0"/>
          <w:sz w:val="21"/>
          <w:szCs w:val="21"/>
        </w:rPr>
        <w:t>播种技术</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2.1</w:t>
      </w:r>
      <w:r>
        <w:rPr>
          <w:rFonts w:hint="eastAsia" w:ascii="宋体" w:hAnsi="宋体" w:eastAsia="宋体"/>
          <w:b/>
          <w:bCs/>
          <w:kern w:val="0"/>
          <w:sz w:val="21"/>
          <w:szCs w:val="21"/>
        </w:rPr>
        <w:t>播期</w:t>
      </w:r>
    </w:p>
    <w:p>
      <w:pPr>
        <w:spacing w:line="360" w:lineRule="exact"/>
        <w:ind w:firstLine="435"/>
        <w:rPr>
          <w:rFonts w:ascii="宋体" w:hAnsi="宋体" w:eastAsia="宋体"/>
          <w:sz w:val="21"/>
          <w:szCs w:val="21"/>
        </w:rPr>
      </w:pPr>
      <w:r>
        <w:rPr>
          <w:rFonts w:hint="eastAsia" w:ascii="宋体" w:hAnsi="宋体" w:eastAsia="宋体"/>
          <w:sz w:val="21"/>
          <w:szCs w:val="21"/>
        </w:rPr>
        <w:t>为满足水稻和小麦周年高产需求，应根据气候、</w:t>
      </w:r>
      <w:r>
        <w:rPr>
          <w:rFonts w:ascii="宋体" w:hAnsi="宋体" w:eastAsia="宋体"/>
          <w:sz w:val="21"/>
          <w:szCs w:val="21"/>
        </w:rPr>
        <w:t>茬口</w:t>
      </w:r>
      <w:r>
        <w:rPr>
          <w:rFonts w:hint="eastAsia" w:ascii="宋体" w:hAnsi="宋体" w:eastAsia="宋体"/>
          <w:sz w:val="21"/>
          <w:szCs w:val="21"/>
        </w:rPr>
        <w:t>和土壤墒情确定具体播期，苏北地区适宜播期为10月</w:t>
      </w:r>
      <w:r>
        <w:rPr>
          <w:rFonts w:ascii="宋体" w:hAnsi="宋体" w:eastAsia="宋体"/>
          <w:sz w:val="21"/>
          <w:szCs w:val="21"/>
        </w:rPr>
        <w:t>1</w:t>
      </w:r>
      <w:r>
        <w:rPr>
          <w:rFonts w:hint="eastAsia" w:ascii="宋体" w:hAnsi="宋体" w:eastAsia="宋体"/>
          <w:sz w:val="21"/>
          <w:szCs w:val="21"/>
        </w:rPr>
        <w:t>5日～1</w:t>
      </w:r>
      <w:r>
        <w:rPr>
          <w:rFonts w:ascii="宋体" w:hAnsi="宋体" w:eastAsia="宋体"/>
          <w:sz w:val="21"/>
          <w:szCs w:val="21"/>
        </w:rPr>
        <w:t>0</w:t>
      </w:r>
      <w:r>
        <w:rPr>
          <w:rFonts w:hint="eastAsia" w:ascii="宋体" w:hAnsi="宋体" w:eastAsia="宋体"/>
          <w:sz w:val="21"/>
          <w:szCs w:val="21"/>
        </w:rPr>
        <w:t>月</w:t>
      </w:r>
      <w:r>
        <w:rPr>
          <w:rFonts w:ascii="宋体" w:hAnsi="宋体" w:eastAsia="宋体"/>
          <w:sz w:val="21"/>
          <w:szCs w:val="21"/>
        </w:rPr>
        <w:t>25</w:t>
      </w:r>
      <w:r>
        <w:rPr>
          <w:rFonts w:hint="eastAsia" w:ascii="宋体" w:hAnsi="宋体" w:eastAsia="宋体"/>
          <w:sz w:val="21"/>
          <w:szCs w:val="21"/>
        </w:rPr>
        <w:t>日，苏中地区适宜播期为10月</w:t>
      </w:r>
      <w:r>
        <w:rPr>
          <w:rFonts w:ascii="宋体" w:hAnsi="宋体" w:eastAsia="宋体"/>
          <w:sz w:val="21"/>
          <w:szCs w:val="21"/>
        </w:rPr>
        <w:t>2</w:t>
      </w:r>
      <w:r>
        <w:rPr>
          <w:rFonts w:hint="eastAsia" w:ascii="宋体" w:hAnsi="宋体" w:eastAsia="宋体"/>
          <w:sz w:val="21"/>
          <w:szCs w:val="21"/>
        </w:rPr>
        <w:t>5日～1</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5</w:t>
      </w:r>
      <w:r>
        <w:rPr>
          <w:rFonts w:hint="eastAsia" w:ascii="宋体" w:hAnsi="宋体" w:eastAsia="宋体"/>
          <w:sz w:val="21"/>
          <w:szCs w:val="21"/>
        </w:rPr>
        <w:t>日，苏南地区适宜播期10月底～11月10日，尽量</w:t>
      </w:r>
      <w:r>
        <w:rPr>
          <w:rFonts w:ascii="宋体" w:hAnsi="宋体" w:eastAsia="宋体"/>
          <w:sz w:val="21"/>
          <w:szCs w:val="21"/>
        </w:rPr>
        <w:t>适时早播</w:t>
      </w:r>
      <w:r>
        <w:rPr>
          <w:rFonts w:hint="eastAsia" w:ascii="宋体" w:hAnsi="宋体" w:eastAsia="宋体"/>
          <w:sz w:val="21"/>
          <w:szCs w:val="21"/>
        </w:rPr>
        <w:t>。</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2.2</w:t>
      </w:r>
      <w:r>
        <w:rPr>
          <w:rFonts w:hint="eastAsia" w:ascii="宋体" w:hAnsi="宋体" w:eastAsia="宋体"/>
          <w:b/>
          <w:bCs/>
          <w:kern w:val="0"/>
          <w:sz w:val="21"/>
          <w:szCs w:val="21"/>
        </w:rPr>
        <w:t>播种量</w:t>
      </w:r>
    </w:p>
    <w:p>
      <w:pPr>
        <w:spacing w:line="360" w:lineRule="exact"/>
        <w:ind w:firstLine="435"/>
        <w:rPr>
          <w:rFonts w:ascii="宋体" w:hAnsi="宋体" w:eastAsia="宋体"/>
          <w:sz w:val="21"/>
          <w:szCs w:val="21"/>
        </w:rPr>
      </w:pPr>
      <w:r>
        <w:rPr>
          <w:rFonts w:hint="eastAsia" w:ascii="宋体" w:hAnsi="宋体" w:eastAsia="宋体"/>
          <w:sz w:val="21"/>
          <w:szCs w:val="21"/>
        </w:rPr>
        <w:t>适播期内，基本苗</w:t>
      </w:r>
      <w:r>
        <w:rPr>
          <w:rFonts w:ascii="宋体" w:hAnsi="宋体" w:eastAsia="宋体"/>
          <w:sz w:val="21"/>
          <w:szCs w:val="21"/>
        </w:rPr>
        <w:t>16</w:t>
      </w:r>
      <w:r>
        <w:rPr>
          <w:rFonts w:hint="eastAsia" w:ascii="宋体" w:hAnsi="宋体" w:eastAsia="宋体"/>
          <w:sz w:val="21"/>
          <w:szCs w:val="21"/>
        </w:rPr>
        <w:t>万～</w:t>
      </w:r>
      <w:r>
        <w:rPr>
          <w:rFonts w:ascii="宋体" w:hAnsi="宋体" w:eastAsia="宋体"/>
          <w:sz w:val="21"/>
          <w:szCs w:val="21"/>
        </w:rPr>
        <w:t>18</w:t>
      </w:r>
      <w:r>
        <w:rPr>
          <w:rFonts w:hint="eastAsia" w:ascii="宋体" w:hAnsi="宋体" w:eastAsia="宋体"/>
          <w:sz w:val="21"/>
          <w:szCs w:val="21"/>
        </w:rPr>
        <w:t>万/</w:t>
      </w:r>
      <w:r>
        <w:rPr>
          <w:rFonts w:ascii="宋体" w:hAnsi="宋体" w:eastAsia="宋体"/>
          <w:sz w:val="21"/>
          <w:szCs w:val="21"/>
        </w:rPr>
        <w:t>667m</w:t>
      </w:r>
      <w:r>
        <w:rPr>
          <w:rFonts w:ascii="宋体" w:hAnsi="宋体" w:eastAsia="宋体"/>
          <w:sz w:val="21"/>
          <w:szCs w:val="21"/>
          <w:vertAlign w:val="superscript"/>
        </w:rPr>
        <w:t>2</w:t>
      </w:r>
      <w:r>
        <w:rPr>
          <w:rFonts w:hint="eastAsia" w:ascii="宋体" w:hAnsi="宋体" w:eastAsia="宋体"/>
          <w:sz w:val="21"/>
          <w:szCs w:val="21"/>
        </w:rPr>
        <w:t>。</w:t>
      </w:r>
      <w:r>
        <w:rPr>
          <w:rFonts w:ascii="宋体" w:hAnsi="宋体" w:eastAsia="宋体"/>
          <w:sz w:val="21"/>
          <w:szCs w:val="21"/>
        </w:rPr>
        <w:t>稻麦周年</w:t>
      </w:r>
      <w:r>
        <w:rPr>
          <w:rFonts w:hint="eastAsia" w:ascii="宋体" w:hAnsi="宋体" w:eastAsia="宋体"/>
          <w:sz w:val="21"/>
          <w:szCs w:val="21"/>
        </w:rPr>
        <w:t>地区，水稻往往收获较迟，应根据播种时间加大播种量，迟于适播期，每迟播一天，播种量增加</w:t>
      </w:r>
      <w:r>
        <w:rPr>
          <w:rFonts w:ascii="宋体" w:hAnsi="宋体" w:eastAsia="宋体"/>
          <w:sz w:val="21"/>
          <w:szCs w:val="21"/>
        </w:rPr>
        <w:t>0.5</w:t>
      </w:r>
      <w:r>
        <w:rPr>
          <w:rFonts w:hint="eastAsia" w:ascii="宋体" w:hAnsi="宋体" w:eastAsia="宋体"/>
          <w:sz w:val="21"/>
          <w:szCs w:val="21"/>
        </w:rPr>
        <w:t>～</w:t>
      </w:r>
      <w:r>
        <w:rPr>
          <w:rFonts w:ascii="宋体" w:hAnsi="宋体" w:eastAsia="宋体"/>
          <w:sz w:val="21"/>
          <w:szCs w:val="21"/>
        </w:rPr>
        <w:t>1 kg</w:t>
      </w:r>
      <w:r>
        <w:rPr>
          <w:rFonts w:hint="eastAsia" w:ascii="宋体" w:hAnsi="宋体" w:eastAsia="宋体"/>
          <w:sz w:val="21"/>
          <w:szCs w:val="21"/>
        </w:rPr>
        <w:t>/</w:t>
      </w:r>
      <w:r>
        <w:rPr>
          <w:rFonts w:ascii="宋体" w:hAnsi="宋体" w:eastAsia="宋体"/>
          <w:sz w:val="21"/>
          <w:szCs w:val="21"/>
        </w:rPr>
        <w:t>667m</w:t>
      </w:r>
      <w:r>
        <w:rPr>
          <w:rFonts w:ascii="宋体" w:hAnsi="宋体" w:eastAsia="宋体"/>
          <w:sz w:val="21"/>
          <w:szCs w:val="21"/>
          <w:vertAlign w:val="superscript"/>
        </w:rPr>
        <w:t>2</w:t>
      </w:r>
      <w:r>
        <w:rPr>
          <w:rFonts w:hint="eastAsia" w:ascii="宋体" w:hAnsi="宋体" w:eastAsia="宋体"/>
          <w:sz w:val="21"/>
          <w:szCs w:val="21"/>
        </w:rPr>
        <w:t>。往年</w:t>
      </w:r>
      <w:r>
        <w:rPr>
          <w:rFonts w:ascii="宋体" w:hAnsi="宋体" w:eastAsia="宋体"/>
          <w:sz w:val="21"/>
          <w:szCs w:val="21"/>
        </w:rPr>
        <w:t>渍害发生较重田块</w:t>
      </w:r>
      <w:r>
        <w:rPr>
          <w:rFonts w:hint="eastAsia" w:ascii="宋体" w:hAnsi="宋体" w:eastAsia="宋体"/>
          <w:sz w:val="21"/>
          <w:szCs w:val="21"/>
        </w:rPr>
        <w:t>，</w:t>
      </w:r>
      <w:r>
        <w:rPr>
          <w:rFonts w:ascii="宋体" w:hAnsi="宋体" w:eastAsia="宋体"/>
          <w:sz w:val="21"/>
          <w:szCs w:val="21"/>
        </w:rPr>
        <w:t>分蘖发生少，要</w:t>
      </w:r>
      <w:r>
        <w:rPr>
          <w:rFonts w:hint="eastAsia" w:ascii="宋体" w:hAnsi="宋体" w:eastAsia="宋体"/>
          <w:sz w:val="21"/>
          <w:szCs w:val="21"/>
        </w:rPr>
        <w:t>根据土壤理化性状适当</w:t>
      </w:r>
      <w:r>
        <w:rPr>
          <w:rFonts w:ascii="宋体" w:hAnsi="宋体" w:eastAsia="宋体"/>
          <w:sz w:val="21"/>
          <w:szCs w:val="21"/>
        </w:rPr>
        <w:t>加大播量</w:t>
      </w:r>
      <w:r>
        <w:rPr>
          <w:rFonts w:hint="eastAsia" w:ascii="宋体" w:hAnsi="宋体" w:eastAsia="宋体"/>
          <w:sz w:val="21"/>
          <w:szCs w:val="21"/>
        </w:rPr>
        <w:t>。</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2.3</w:t>
      </w:r>
      <w:r>
        <w:rPr>
          <w:rFonts w:hint="eastAsia" w:ascii="宋体" w:hAnsi="宋体" w:eastAsia="宋体"/>
          <w:b/>
          <w:bCs/>
          <w:kern w:val="0"/>
          <w:sz w:val="21"/>
          <w:szCs w:val="21"/>
        </w:rPr>
        <w:t>播种方式</w:t>
      </w:r>
    </w:p>
    <w:p>
      <w:pPr>
        <w:spacing w:line="360" w:lineRule="exact"/>
        <w:ind w:firstLine="435"/>
        <w:rPr>
          <w:rFonts w:ascii="宋体" w:hAnsi="宋体" w:eastAsia="宋体"/>
          <w:sz w:val="21"/>
          <w:szCs w:val="21"/>
        </w:rPr>
      </w:pPr>
      <w:r>
        <w:rPr>
          <w:rFonts w:hint="eastAsia" w:ascii="宋体" w:hAnsi="宋体" w:eastAsia="宋体"/>
          <w:sz w:val="21"/>
          <w:szCs w:val="21"/>
        </w:rPr>
        <w:t>适墒田块宜采用精量机播技术，条播或带状播种，确保匀播，播种深度2～3cm。</w:t>
      </w:r>
    </w:p>
    <w:p>
      <w:pPr>
        <w:spacing w:line="360" w:lineRule="exact"/>
        <w:ind w:firstLine="435"/>
        <w:rPr>
          <w:rFonts w:ascii="宋体" w:hAnsi="宋体" w:eastAsia="宋体"/>
          <w:sz w:val="21"/>
          <w:szCs w:val="21"/>
        </w:rPr>
      </w:pPr>
      <w:r>
        <w:rPr>
          <w:rFonts w:hint="eastAsia" w:ascii="宋体" w:hAnsi="宋体" w:eastAsia="宋体"/>
          <w:sz w:val="21"/>
          <w:szCs w:val="21"/>
        </w:rPr>
        <w:t>如土壤过湿，拆除条播机的开沟器和排种管，板茬露田机匀播；对腾茬过迟田块，也可采用稻田套种方式，适期套种套肥套药，开沟覆土。</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5.2.4</w:t>
      </w:r>
      <w:r>
        <w:rPr>
          <w:rFonts w:ascii="宋体" w:hAnsi="宋体" w:eastAsia="宋体"/>
          <w:b/>
          <w:bCs/>
          <w:kern w:val="0"/>
          <w:sz w:val="21"/>
          <w:szCs w:val="21"/>
        </w:rPr>
        <w:t xml:space="preserve"> </w:t>
      </w:r>
      <w:r>
        <w:rPr>
          <w:rFonts w:hint="eastAsia" w:ascii="宋体" w:hAnsi="宋体" w:eastAsia="宋体"/>
          <w:b/>
          <w:bCs/>
          <w:kern w:val="0"/>
          <w:sz w:val="21"/>
          <w:szCs w:val="21"/>
        </w:rPr>
        <w:t>播后镇压</w:t>
      </w:r>
    </w:p>
    <w:p>
      <w:pPr>
        <w:spacing w:line="360" w:lineRule="exact"/>
        <w:ind w:firstLine="435"/>
        <w:rPr>
          <w:rFonts w:ascii="宋体" w:hAnsi="宋体" w:eastAsia="宋体"/>
          <w:sz w:val="21"/>
          <w:szCs w:val="21"/>
        </w:rPr>
      </w:pPr>
      <w:r>
        <w:rPr>
          <w:rFonts w:hint="eastAsia" w:ascii="宋体" w:hAnsi="宋体" w:eastAsia="宋体"/>
          <w:sz w:val="21"/>
          <w:szCs w:val="21"/>
        </w:rPr>
        <w:t>秸秆全量还田田块，播种后应适时适墒进行机械镇压，确保土壤与种子紧密接触。如果土壤含水量高，土壤质地粘重，则播后不宜镇压。</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5.3肥料管理</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5.3.1肥料用量</w:t>
      </w:r>
    </w:p>
    <w:p>
      <w:pPr>
        <w:spacing w:line="360" w:lineRule="exact"/>
        <w:ind w:firstLine="435"/>
        <w:rPr>
          <w:rFonts w:ascii="宋体" w:hAnsi="宋体" w:eastAsia="宋体"/>
          <w:sz w:val="21"/>
          <w:szCs w:val="21"/>
        </w:rPr>
      </w:pPr>
      <w:r>
        <w:rPr>
          <w:rFonts w:hint="eastAsia" w:ascii="宋体" w:hAnsi="宋体" w:eastAsia="宋体"/>
          <w:sz w:val="21"/>
          <w:szCs w:val="21"/>
        </w:rPr>
        <w:t>正常生长</w:t>
      </w:r>
      <w:r>
        <w:rPr>
          <w:rFonts w:ascii="宋体" w:hAnsi="宋体" w:eastAsia="宋体"/>
          <w:sz w:val="21"/>
          <w:szCs w:val="21"/>
        </w:rPr>
        <w:t>小麦</w:t>
      </w:r>
      <w:r>
        <w:rPr>
          <w:rFonts w:hint="eastAsia" w:ascii="宋体" w:hAnsi="宋体" w:eastAsia="宋体"/>
          <w:sz w:val="21"/>
          <w:szCs w:val="21"/>
        </w:rPr>
        <w:t>每</w:t>
      </w:r>
      <w:r>
        <w:rPr>
          <w:rFonts w:ascii="宋体" w:hAnsi="宋体" w:eastAsia="宋体"/>
          <w:sz w:val="21"/>
          <w:szCs w:val="21"/>
        </w:rPr>
        <w:t>667m</w:t>
      </w:r>
      <w:r>
        <w:rPr>
          <w:rFonts w:ascii="宋体" w:hAnsi="宋体" w:eastAsia="宋体"/>
          <w:sz w:val="21"/>
          <w:szCs w:val="21"/>
          <w:vertAlign w:val="superscript"/>
        </w:rPr>
        <w:t>2</w:t>
      </w:r>
      <w:r>
        <w:rPr>
          <w:rFonts w:hint="eastAsia" w:ascii="宋体" w:hAnsi="宋体" w:eastAsia="宋体"/>
          <w:sz w:val="21"/>
          <w:szCs w:val="21"/>
        </w:rPr>
        <w:t xml:space="preserve">施纯氮 </w:t>
      </w:r>
      <w:r>
        <w:rPr>
          <w:rFonts w:ascii="宋体" w:hAnsi="宋体" w:eastAsia="宋体"/>
          <w:sz w:val="21"/>
          <w:szCs w:val="21"/>
        </w:rPr>
        <w:t>1</w:t>
      </w:r>
      <w:r>
        <w:rPr>
          <w:rFonts w:hint="eastAsia" w:ascii="宋体" w:hAnsi="宋体" w:eastAsia="宋体"/>
          <w:sz w:val="21"/>
          <w:szCs w:val="21"/>
        </w:rPr>
        <w:t xml:space="preserve">5～20 公斤，五氧化二磷 </w:t>
      </w:r>
      <w:r>
        <w:rPr>
          <w:rFonts w:ascii="宋体" w:hAnsi="宋体" w:eastAsia="宋体"/>
          <w:sz w:val="21"/>
          <w:szCs w:val="21"/>
        </w:rPr>
        <w:t>6</w:t>
      </w:r>
      <w:r>
        <w:rPr>
          <w:rFonts w:hint="eastAsia" w:ascii="宋体" w:hAnsi="宋体" w:eastAsia="宋体"/>
          <w:sz w:val="21"/>
          <w:szCs w:val="21"/>
        </w:rPr>
        <w:t>～</w:t>
      </w:r>
      <w:r>
        <w:rPr>
          <w:rFonts w:ascii="宋体" w:hAnsi="宋体" w:eastAsia="宋体"/>
          <w:sz w:val="21"/>
          <w:szCs w:val="21"/>
        </w:rPr>
        <w:t>10</w:t>
      </w:r>
      <w:r>
        <w:rPr>
          <w:rFonts w:hint="eastAsia" w:ascii="宋体" w:hAnsi="宋体" w:eastAsia="宋体"/>
          <w:sz w:val="21"/>
          <w:szCs w:val="21"/>
        </w:rPr>
        <w:t xml:space="preserve"> 公斤，氧化钾 6～</w:t>
      </w:r>
      <w:r>
        <w:rPr>
          <w:rFonts w:ascii="宋体" w:hAnsi="宋体" w:eastAsia="宋体"/>
          <w:sz w:val="21"/>
          <w:szCs w:val="21"/>
        </w:rPr>
        <w:t>10</w:t>
      </w:r>
      <w:r>
        <w:rPr>
          <w:rFonts w:hint="eastAsia" w:ascii="宋体" w:hAnsi="宋体" w:eastAsia="宋体"/>
          <w:sz w:val="21"/>
          <w:szCs w:val="21"/>
        </w:rPr>
        <w:t xml:space="preserve"> 公斤，高产</w:t>
      </w:r>
      <w:r>
        <w:rPr>
          <w:rFonts w:ascii="宋体" w:hAnsi="宋体" w:eastAsia="宋体"/>
          <w:sz w:val="21"/>
          <w:szCs w:val="21"/>
        </w:rPr>
        <w:t>田块</w:t>
      </w:r>
      <w:r>
        <w:rPr>
          <w:rFonts w:hint="eastAsia" w:ascii="宋体" w:hAnsi="宋体" w:eastAsia="宋体"/>
          <w:sz w:val="21"/>
          <w:szCs w:val="21"/>
        </w:rPr>
        <w:t>可</w:t>
      </w:r>
      <w:r>
        <w:rPr>
          <w:rFonts w:ascii="宋体" w:hAnsi="宋体" w:eastAsia="宋体"/>
          <w:sz w:val="21"/>
          <w:szCs w:val="21"/>
        </w:rPr>
        <w:t>适当加大肥料用量。</w:t>
      </w:r>
      <w:r>
        <w:rPr>
          <w:rFonts w:hint="eastAsia" w:ascii="宋体" w:hAnsi="宋体" w:eastAsia="宋体"/>
          <w:sz w:val="21"/>
          <w:szCs w:val="21"/>
        </w:rPr>
        <w:t>低洼</w:t>
      </w:r>
      <w:r>
        <w:rPr>
          <w:rFonts w:ascii="宋体" w:hAnsi="宋体" w:eastAsia="宋体"/>
          <w:sz w:val="21"/>
          <w:szCs w:val="21"/>
        </w:rPr>
        <w:t>田块</w:t>
      </w:r>
      <w:r>
        <w:rPr>
          <w:rFonts w:hint="eastAsia" w:ascii="宋体" w:hAnsi="宋体" w:eastAsia="宋体"/>
          <w:sz w:val="21"/>
          <w:szCs w:val="21"/>
        </w:rPr>
        <w:t>灾后及时补救，可酌情增加肥料用量</w:t>
      </w:r>
      <w:r>
        <w:rPr>
          <w:rFonts w:ascii="宋体" w:hAnsi="宋体" w:eastAsia="宋体"/>
          <w:sz w:val="21"/>
          <w:szCs w:val="21"/>
        </w:rPr>
        <w:t>。</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5.3</w:t>
      </w:r>
      <w:r>
        <w:rPr>
          <w:rFonts w:ascii="宋体" w:hAnsi="宋体" w:eastAsia="宋体"/>
          <w:b/>
          <w:bCs/>
          <w:kern w:val="0"/>
          <w:sz w:val="21"/>
          <w:szCs w:val="21"/>
        </w:rPr>
        <w:t>.</w:t>
      </w:r>
      <w:r>
        <w:rPr>
          <w:rFonts w:hint="eastAsia" w:ascii="宋体" w:hAnsi="宋体" w:eastAsia="宋体"/>
          <w:b/>
          <w:bCs/>
          <w:kern w:val="0"/>
          <w:sz w:val="21"/>
          <w:szCs w:val="21"/>
        </w:rPr>
        <w:t>2肥料运筹</w:t>
      </w:r>
    </w:p>
    <w:p>
      <w:pPr>
        <w:spacing w:line="360" w:lineRule="exact"/>
        <w:ind w:firstLine="435"/>
        <w:rPr>
          <w:rFonts w:ascii="宋体" w:hAnsi="宋体" w:eastAsia="宋体"/>
          <w:sz w:val="21"/>
          <w:szCs w:val="21"/>
        </w:rPr>
      </w:pPr>
      <w:r>
        <w:rPr>
          <w:rFonts w:hint="eastAsia" w:ascii="宋体" w:hAnsi="宋体" w:eastAsia="宋体"/>
          <w:sz w:val="21"/>
          <w:szCs w:val="21"/>
        </w:rPr>
        <w:t>中强筋小麦氮肥基蘖肥占总量</w:t>
      </w:r>
      <w:r>
        <w:rPr>
          <w:rFonts w:ascii="宋体" w:hAnsi="宋体" w:eastAsia="宋体"/>
          <w:sz w:val="21"/>
          <w:szCs w:val="21"/>
        </w:rPr>
        <w:t>5</w:t>
      </w:r>
      <w:r>
        <w:rPr>
          <w:rFonts w:hint="eastAsia" w:ascii="宋体" w:hAnsi="宋体" w:eastAsia="宋体"/>
          <w:sz w:val="21"/>
          <w:szCs w:val="21"/>
        </w:rPr>
        <w:t>0～</w:t>
      </w:r>
      <w:r>
        <w:rPr>
          <w:rFonts w:ascii="宋体" w:hAnsi="宋体" w:eastAsia="宋体"/>
          <w:sz w:val="21"/>
          <w:szCs w:val="21"/>
        </w:rPr>
        <w:t>60</w:t>
      </w:r>
      <w:r>
        <w:rPr>
          <w:rFonts w:hint="eastAsia" w:ascii="宋体" w:hAnsi="宋体" w:eastAsia="宋体"/>
          <w:sz w:val="21"/>
          <w:szCs w:val="21"/>
        </w:rPr>
        <w:t>%，拔节孕穗肥40～50</w:t>
      </w:r>
      <w:r>
        <w:rPr>
          <w:rFonts w:ascii="宋体" w:hAnsi="宋体" w:eastAsia="宋体"/>
          <w:sz w:val="21"/>
          <w:szCs w:val="21"/>
        </w:rPr>
        <w:t>%</w:t>
      </w:r>
      <w:r>
        <w:rPr>
          <w:rFonts w:hint="eastAsia" w:ascii="宋体" w:hAnsi="宋体" w:eastAsia="宋体"/>
          <w:sz w:val="21"/>
          <w:szCs w:val="21"/>
        </w:rPr>
        <w:t>，磷钾肥可作基肥一次施用，也可以按基：追比5：5施用。弱筋小麦氮肥前移，降低后期施肥比例，基追比7：3为宜。</w:t>
      </w:r>
    </w:p>
    <w:p>
      <w:pPr>
        <w:widowControl/>
        <w:spacing w:line="360" w:lineRule="exact"/>
        <w:jc w:val="left"/>
        <w:rPr>
          <w:rFonts w:ascii="宋体" w:hAnsi="宋体" w:eastAsia="宋体"/>
          <w:sz w:val="21"/>
          <w:szCs w:val="21"/>
        </w:rPr>
      </w:pPr>
      <w:r>
        <w:rPr>
          <w:rFonts w:hint="eastAsia" w:ascii="宋体" w:hAnsi="宋体" w:eastAsia="宋体"/>
          <w:b/>
          <w:bCs/>
          <w:kern w:val="0"/>
          <w:sz w:val="21"/>
          <w:szCs w:val="21"/>
        </w:rPr>
        <w:t>5.3.</w:t>
      </w:r>
      <w:r>
        <w:rPr>
          <w:rFonts w:ascii="宋体" w:hAnsi="宋体" w:eastAsia="宋体"/>
          <w:b/>
          <w:bCs/>
          <w:kern w:val="0"/>
          <w:sz w:val="21"/>
          <w:szCs w:val="21"/>
        </w:rPr>
        <w:t>3</w:t>
      </w:r>
      <w:r>
        <w:rPr>
          <w:rFonts w:hint="eastAsia" w:ascii="宋体" w:hAnsi="宋体" w:eastAsia="宋体"/>
          <w:b/>
          <w:bCs/>
          <w:kern w:val="0"/>
          <w:sz w:val="21"/>
          <w:szCs w:val="21"/>
        </w:rPr>
        <w:t xml:space="preserve"> 灾害恢复肥</w:t>
      </w:r>
    </w:p>
    <w:p>
      <w:pPr>
        <w:spacing w:line="360" w:lineRule="exact"/>
        <w:ind w:firstLine="435"/>
        <w:rPr>
          <w:rFonts w:ascii="宋体" w:hAnsi="宋体" w:eastAsia="宋体"/>
          <w:sz w:val="21"/>
          <w:szCs w:val="21"/>
        </w:rPr>
      </w:pPr>
      <w:r>
        <w:rPr>
          <w:rFonts w:hint="eastAsia" w:ascii="宋体" w:hAnsi="宋体" w:eastAsia="宋体"/>
          <w:sz w:val="21"/>
          <w:szCs w:val="21"/>
        </w:rPr>
        <w:t>小麦在遭到逆境严重伤害时，如</w:t>
      </w:r>
      <w:r>
        <w:rPr>
          <w:rFonts w:ascii="宋体" w:hAnsi="宋体" w:eastAsia="宋体"/>
          <w:sz w:val="21"/>
          <w:szCs w:val="21"/>
        </w:rPr>
        <w:t>渍</w:t>
      </w:r>
      <w:r>
        <w:rPr>
          <w:rFonts w:hint="eastAsia" w:ascii="宋体" w:hAnsi="宋体" w:eastAsia="宋体"/>
          <w:sz w:val="21"/>
          <w:szCs w:val="21"/>
        </w:rPr>
        <w:t>害、冻害</w:t>
      </w:r>
      <w:r>
        <w:rPr>
          <w:rFonts w:ascii="宋体" w:hAnsi="宋体" w:eastAsia="宋体"/>
          <w:sz w:val="21"/>
          <w:szCs w:val="21"/>
        </w:rPr>
        <w:t>等</w:t>
      </w:r>
      <w:r>
        <w:rPr>
          <w:rFonts w:hint="eastAsia" w:ascii="宋体" w:hAnsi="宋体" w:eastAsia="宋体"/>
          <w:sz w:val="21"/>
          <w:szCs w:val="21"/>
        </w:rPr>
        <w:t>，可根据受灾程度增施恢复肥减轻伤害，促使其恢复生长。</w:t>
      </w:r>
    </w:p>
    <w:p>
      <w:pPr>
        <w:spacing w:line="360" w:lineRule="exact"/>
        <w:ind w:firstLine="435"/>
        <w:rPr>
          <w:rFonts w:ascii="宋体" w:hAnsi="宋体" w:eastAsia="宋体"/>
          <w:sz w:val="21"/>
          <w:szCs w:val="21"/>
        </w:rPr>
      </w:pPr>
      <w:r>
        <w:rPr>
          <w:rFonts w:ascii="宋体" w:hAnsi="宋体" w:eastAsia="宋体"/>
          <w:sz w:val="21"/>
          <w:szCs w:val="21"/>
        </w:rPr>
        <w:t>渍害</w:t>
      </w:r>
      <w:r>
        <w:rPr>
          <w:rFonts w:hint="eastAsia" w:ascii="宋体" w:hAnsi="宋体" w:eastAsia="宋体"/>
          <w:sz w:val="21"/>
          <w:szCs w:val="21"/>
        </w:rPr>
        <w:t>发生田块</w:t>
      </w:r>
      <w:r>
        <w:rPr>
          <w:rFonts w:ascii="宋体" w:hAnsi="宋体" w:eastAsia="宋体"/>
          <w:sz w:val="21"/>
          <w:szCs w:val="21"/>
        </w:rPr>
        <w:t>，</w:t>
      </w:r>
      <w:r>
        <w:rPr>
          <w:rFonts w:hint="eastAsia" w:ascii="宋体" w:hAnsi="宋体" w:eastAsia="宋体"/>
          <w:sz w:val="21"/>
          <w:szCs w:val="21"/>
        </w:rPr>
        <w:t>由于渍害根系吸收养分能力下降，生长不良，同时也会造成土壤养分淋溶损失，要及时追施速效肥料，尤其是速效氮肥，促进小麦快速恢复生长。可在</w:t>
      </w:r>
      <w:r>
        <w:rPr>
          <w:rFonts w:ascii="宋体" w:hAnsi="宋体" w:eastAsia="宋体"/>
          <w:sz w:val="21"/>
          <w:szCs w:val="21"/>
        </w:rPr>
        <w:t>返青期、拔节期、孕穗期根据苗情，适当</w:t>
      </w:r>
      <w:r>
        <w:rPr>
          <w:rFonts w:hint="eastAsia" w:ascii="宋体" w:hAnsi="宋体" w:eastAsia="宋体"/>
          <w:sz w:val="21"/>
          <w:szCs w:val="21"/>
        </w:rPr>
        <w:t>追肥。扬花</w:t>
      </w:r>
      <w:r>
        <w:rPr>
          <w:rFonts w:ascii="宋体" w:hAnsi="宋体" w:eastAsia="宋体"/>
          <w:sz w:val="21"/>
          <w:szCs w:val="21"/>
        </w:rPr>
        <w:t>灌浆期</w:t>
      </w:r>
      <w:r>
        <w:rPr>
          <w:rFonts w:hint="eastAsia" w:ascii="宋体" w:hAnsi="宋体" w:eastAsia="宋体"/>
          <w:sz w:val="21"/>
          <w:szCs w:val="21"/>
        </w:rPr>
        <w:t>结合病虫害防治</w:t>
      </w:r>
      <w:r>
        <w:rPr>
          <w:rFonts w:ascii="宋体" w:hAnsi="宋体" w:eastAsia="宋体"/>
          <w:sz w:val="21"/>
          <w:szCs w:val="21"/>
        </w:rPr>
        <w:t>，喷施叶面肥。</w:t>
      </w:r>
      <w:r>
        <w:rPr>
          <w:rFonts w:hint="eastAsia" w:ascii="宋体" w:hAnsi="宋体" w:eastAsia="宋体"/>
          <w:sz w:val="21"/>
          <w:szCs w:val="21"/>
        </w:rPr>
        <w:t>渍害</w:t>
      </w:r>
      <w:r>
        <w:rPr>
          <w:rFonts w:ascii="宋体" w:hAnsi="宋体" w:eastAsia="宋体"/>
          <w:sz w:val="21"/>
          <w:szCs w:val="21"/>
        </w:rPr>
        <w:t>田块</w:t>
      </w:r>
      <w:r>
        <w:rPr>
          <w:rFonts w:hint="eastAsia" w:ascii="宋体" w:hAnsi="宋体" w:eastAsia="宋体"/>
          <w:sz w:val="21"/>
          <w:szCs w:val="21"/>
        </w:rPr>
        <w:t>小麦</w:t>
      </w:r>
      <w:r>
        <w:rPr>
          <w:rFonts w:ascii="宋体" w:hAnsi="宋体" w:eastAsia="宋体"/>
          <w:sz w:val="21"/>
          <w:szCs w:val="21"/>
        </w:rPr>
        <w:t>茎杆充实度往往较差，可</w:t>
      </w:r>
      <w:r>
        <w:rPr>
          <w:rFonts w:hint="eastAsia" w:ascii="宋体" w:hAnsi="宋体" w:eastAsia="宋体"/>
          <w:sz w:val="21"/>
          <w:szCs w:val="21"/>
        </w:rPr>
        <w:t>喷施</w:t>
      </w:r>
      <w:r>
        <w:rPr>
          <w:rFonts w:ascii="宋体" w:hAnsi="宋体" w:eastAsia="宋体"/>
          <w:sz w:val="21"/>
          <w:szCs w:val="21"/>
        </w:rPr>
        <w:t>磷酸二氢钾，同时</w:t>
      </w:r>
      <w:r>
        <w:rPr>
          <w:rFonts w:hint="eastAsia" w:ascii="宋体" w:hAnsi="宋体" w:eastAsia="宋体"/>
          <w:sz w:val="21"/>
          <w:szCs w:val="21"/>
        </w:rPr>
        <w:t>酌情每亩补充硅肥1公斤、锌肥1公斤等微肥。</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4 </w:t>
      </w:r>
      <w:r>
        <w:rPr>
          <w:rFonts w:hint="eastAsia" w:ascii="宋体" w:hAnsi="宋体" w:eastAsia="宋体"/>
          <w:b/>
          <w:bCs/>
          <w:kern w:val="0"/>
          <w:sz w:val="21"/>
          <w:szCs w:val="21"/>
        </w:rPr>
        <w:t>水分管理</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4.1</w:t>
      </w:r>
      <w:r>
        <w:rPr>
          <w:rFonts w:hint="eastAsia" w:ascii="宋体" w:hAnsi="宋体" w:eastAsia="宋体"/>
          <w:b/>
          <w:bCs/>
          <w:kern w:val="0"/>
          <w:sz w:val="21"/>
          <w:szCs w:val="21"/>
        </w:rPr>
        <w:t>沟系配套</w:t>
      </w:r>
    </w:p>
    <w:p>
      <w:pPr>
        <w:spacing w:line="360" w:lineRule="exact"/>
        <w:ind w:firstLine="435"/>
        <w:rPr>
          <w:rFonts w:ascii="宋体" w:hAnsi="宋体" w:eastAsia="宋体"/>
          <w:sz w:val="21"/>
          <w:szCs w:val="21"/>
        </w:rPr>
      </w:pPr>
      <w:r>
        <w:rPr>
          <w:rFonts w:hint="eastAsia" w:ascii="宋体" w:hAnsi="宋体" w:eastAsia="宋体"/>
          <w:sz w:val="21"/>
          <w:szCs w:val="21"/>
        </w:rPr>
        <w:t>播种后应及时完善沟系，排水顺畅，达到雨止田干。田外沟深</w:t>
      </w:r>
      <w:r>
        <w:rPr>
          <w:rFonts w:ascii="宋体" w:hAnsi="宋体" w:eastAsia="宋体"/>
          <w:sz w:val="21"/>
          <w:szCs w:val="21"/>
        </w:rPr>
        <w:t>1.0</w:t>
      </w:r>
      <w:r>
        <w:rPr>
          <w:rFonts w:hint="eastAsia" w:ascii="宋体" w:hAnsi="宋体" w:eastAsia="宋体"/>
          <w:sz w:val="21"/>
          <w:szCs w:val="21"/>
        </w:rPr>
        <w:t>～</w:t>
      </w:r>
      <w:r>
        <w:rPr>
          <w:rFonts w:ascii="宋体" w:hAnsi="宋体" w:eastAsia="宋体"/>
          <w:sz w:val="21"/>
          <w:szCs w:val="21"/>
        </w:rPr>
        <w:t>1.2 m</w:t>
      </w:r>
      <w:r>
        <w:rPr>
          <w:rFonts w:hint="eastAsia" w:ascii="宋体" w:hAnsi="宋体" w:eastAsia="宋体"/>
          <w:sz w:val="21"/>
          <w:szCs w:val="21"/>
        </w:rPr>
        <w:t>，田内“三沟”的标准为：竖沟间距</w:t>
      </w:r>
      <w:r>
        <w:rPr>
          <w:rFonts w:ascii="宋体" w:hAnsi="宋体" w:eastAsia="宋体"/>
          <w:sz w:val="21"/>
          <w:szCs w:val="21"/>
        </w:rPr>
        <w:t>2.5</w:t>
      </w:r>
      <w:r>
        <w:rPr>
          <w:rFonts w:hint="eastAsia" w:ascii="宋体" w:hAnsi="宋体" w:eastAsia="宋体"/>
          <w:sz w:val="21"/>
          <w:szCs w:val="21"/>
        </w:rPr>
        <w:t>～</w:t>
      </w:r>
      <w:r>
        <w:rPr>
          <w:rFonts w:ascii="宋体" w:hAnsi="宋体" w:eastAsia="宋体"/>
          <w:sz w:val="21"/>
          <w:szCs w:val="21"/>
        </w:rPr>
        <w:t>3 m</w:t>
      </w:r>
      <w:r>
        <w:rPr>
          <w:rFonts w:hint="eastAsia" w:ascii="宋体" w:hAnsi="宋体" w:eastAsia="宋体"/>
          <w:sz w:val="21"/>
          <w:szCs w:val="21"/>
        </w:rPr>
        <w:t>，沟深</w:t>
      </w:r>
      <w:r>
        <w:rPr>
          <w:rFonts w:ascii="宋体" w:hAnsi="宋体" w:eastAsia="宋体"/>
          <w:sz w:val="21"/>
          <w:szCs w:val="21"/>
        </w:rPr>
        <w:t>20</w:t>
      </w:r>
      <w:r>
        <w:rPr>
          <w:rFonts w:hint="eastAsia" w:ascii="宋体" w:hAnsi="宋体" w:eastAsia="宋体"/>
          <w:sz w:val="21"/>
          <w:szCs w:val="21"/>
        </w:rPr>
        <w:t>～</w:t>
      </w:r>
      <w:r>
        <w:rPr>
          <w:rFonts w:ascii="宋体" w:hAnsi="宋体" w:eastAsia="宋体"/>
          <w:sz w:val="21"/>
          <w:szCs w:val="21"/>
        </w:rPr>
        <w:t>30 cm</w:t>
      </w:r>
      <w:r>
        <w:rPr>
          <w:rFonts w:hint="eastAsia" w:ascii="宋体" w:hAnsi="宋体" w:eastAsia="宋体"/>
          <w:sz w:val="21"/>
          <w:szCs w:val="21"/>
        </w:rPr>
        <w:t>；横沟间距</w:t>
      </w:r>
      <w:r>
        <w:rPr>
          <w:rFonts w:ascii="宋体" w:hAnsi="宋体" w:eastAsia="宋体"/>
          <w:sz w:val="21"/>
          <w:szCs w:val="21"/>
        </w:rPr>
        <w:t>40</w:t>
      </w:r>
      <w:r>
        <w:rPr>
          <w:rFonts w:hint="eastAsia" w:ascii="宋体" w:hAnsi="宋体" w:eastAsia="宋体"/>
          <w:sz w:val="21"/>
          <w:szCs w:val="21"/>
        </w:rPr>
        <w:t>～</w:t>
      </w:r>
      <w:r>
        <w:rPr>
          <w:rFonts w:ascii="宋体" w:hAnsi="宋体" w:eastAsia="宋体"/>
          <w:sz w:val="21"/>
          <w:szCs w:val="21"/>
        </w:rPr>
        <w:t>50 m</w:t>
      </w:r>
      <w:r>
        <w:rPr>
          <w:rFonts w:hint="eastAsia" w:ascii="宋体" w:hAnsi="宋体" w:eastAsia="宋体"/>
          <w:sz w:val="21"/>
          <w:szCs w:val="21"/>
        </w:rPr>
        <w:t>，沟深</w:t>
      </w:r>
      <w:r>
        <w:rPr>
          <w:rFonts w:ascii="宋体" w:hAnsi="宋体" w:eastAsia="宋体"/>
          <w:sz w:val="21"/>
          <w:szCs w:val="21"/>
        </w:rPr>
        <w:t>30</w:t>
      </w:r>
      <w:r>
        <w:rPr>
          <w:rFonts w:hint="eastAsia" w:ascii="宋体" w:hAnsi="宋体" w:eastAsia="宋体"/>
          <w:sz w:val="21"/>
          <w:szCs w:val="21"/>
        </w:rPr>
        <w:t>～</w:t>
      </w:r>
      <w:r>
        <w:rPr>
          <w:rFonts w:ascii="宋体" w:hAnsi="宋体" w:eastAsia="宋体"/>
          <w:sz w:val="21"/>
          <w:szCs w:val="21"/>
        </w:rPr>
        <w:t>40 cm</w:t>
      </w:r>
      <w:r>
        <w:rPr>
          <w:rFonts w:hint="eastAsia" w:ascii="宋体" w:hAnsi="宋体" w:eastAsia="宋体"/>
          <w:sz w:val="21"/>
          <w:szCs w:val="21"/>
        </w:rPr>
        <w:t>；田头沟深</w:t>
      </w:r>
      <w:r>
        <w:rPr>
          <w:rFonts w:ascii="宋体" w:hAnsi="宋体" w:eastAsia="宋体"/>
          <w:sz w:val="21"/>
          <w:szCs w:val="21"/>
        </w:rPr>
        <w:t>40</w:t>
      </w:r>
      <w:r>
        <w:rPr>
          <w:rFonts w:hint="eastAsia" w:ascii="宋体" w:hAnsi="宋体" w:eastAsia="宋体"/>
          <w:sz w:val="21"/>
          <w:szCs w:val="21"/>
        </w:rPr>
        <w:t>cm以上；竖沟与横沟相连通，横沟与田头沟相连通，且田头沟与田外沟直接相通。春季</w:t>
      </w:r>
      <w:r>
        <w:rPr>
          <w:rFonts w:ascii="宋体" w:hAnsi="宋体" w:eastAsia="宋体"/>
          <w:sz w:val="21"/>
          <w:szCs w:val="21"/>
        </w:rPr>
        <w:t>要</w:t>
      </w:r>
      <w:r>
        <w:rPr>
          <w:rFonts w:hint="eastAsia" w:ascii="宋体" w:hAnsi="宋体" w:eastAsia="宋体"/>
          <w:sz w:val="21"/>
          <w:szCs w:val="21"/>
        </w:rPr>
        <w:t>及早清沟理墒，确保田间无积水。对于地势低洼田块，要增加排水沟深度和数量。</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4.2</w:t>
      </w:r>
      <w:r>
        <w:rPr>
          <w:rFonts w:hint="eastAsia" w:ascii="宋体" w:hAnsi="宋体" w:eastAsia="宋体"/>
          <w:b/>
          <w:bCs/>
          <w:kern w:val="0"/>
          <w:sz w:val="21"/>
          <w:szCs w:val="21"/>
        </w:rPr>
        <w:t>不同生育期水分需求</w:t>
      </w:r>
    </w:p>
    <w:p>
      <w:pPr>
        <w:widowControl/>
        <w:spacing w:line="360" w:lineRule="exact"/>
        <w:ind w:firstLine="420" w:firstLineChars="200"/>
        <w:jc w:val="left"/>
        <w:rPr>
          <w:rFonts w:ascii="宋体" w:hAnsi="宋体" w:eastAsia="宋体"/>
          <w:sz w:val="21"/>
          <w:szCs w:val="21"/>
        </w:rPr>
      </w:pPr>
      <w:r>
        <w:rPr>
          <w:rFonts w:ascii="宋体" w:hAnsi="宋体" w:eastAsia="宋体"/>
          <w:sz w:val="21"/>
          <w:szCs w:val="21"/>
        </w:rPr>
        <w:t>冬小麦从播种到收获整个生育期内，总耗水量为400-600毫米</w:t>
      </w:r>
      <w:r>
        <w:rPr>
          <w:rFonts w:hint="eastAsia" w:ascii="宋体" w:hAnsi="宋体" w:eastAsia="宋体"/>
          <w:sz w:val="21"/>
          <w:szCs w:val="21"/>
        </w:rPr>
        <w:t>，播种期至越冬阶段耗水率为</w:t>
      </w:r>
      <w:r>
        <w:rPr>
          <w:rFonts w:ascii="宋体" w:hAnsi="宋体" w:eastAsia="宋体"/>
          <w:sz w:val="21"/>
          <w:szCs w:val="21"/>
        </w:rPr>
        <w:t>20</w:t>
      </w:r>
      <w:r>
        <w:rPr>
          <w:rFonts w:hint="eastAsia" w:ascii="宋体" w:hAnsi="宋体" w:eastAsia="宋体"/>
          <w:sz w:val="21"/>
          <w:szCs w:val="21"/>
        </w:rPr>
        <w:t>%左右，越冬期至拔节期阶段耗水率为</w:t>
      </w:r>
      <w:r>
        <w:rPr>
          <w:rFonts w:ascii="宋体" w:hAnsi="宋体" w:eastAsia="宋体"/>
          <w:sz w:val="21"/>
          <w:szCs w:val="21"/>
        </w:rPr>
        <w:t>20</w:t>
      </w:r>
      <w:r>
        <w:rPr>
          <w:rFonts w:hint="eastAsia" w:ascii="宋体" w:hAnsi="宋体" w:eastAsia="宋体"/>
          <w:sz w:val="21"/>
          <w:szCs w:val="21"/>
        </w:rPr>
        <w:t>%左右，拔节期至抽穗期阶段耗水率高达3</w:t>
      </w:r>
      <w:r>
        <w:rPr>
          <w:rFonts w:ascii="宋体" w:hAnsi="宋体" w:eastAsia="宋体"/>
          <w:sz w:val="21"/>
          <w:szCs w:val="21"/>
        </w:rPr>
        <w:t>0</w:t>
      </w:r>
      <w:r>
        <w:rPr>
          <w:rFonts w:hint="eastAsia" w:ascii="宋体" w:hAnsi="宋体" w:eastAsia="宋体"/>
          <w:sz w:val="21"/>
          <w:szCs w:val="21"/>
        </w:rPr>
        <w:t>%左右，抽穗期至成熟期阶段耗水率为30%左右。</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.4.3</w:t>
      </w:r>
      <w:r>
        <w:rPr>
          <w:rFonts w:hint="eastAsia" w:ascii="宋体" w:hAnsi="宋体" w:eastAsia="宋体"/>
          <w:b/>
          <w:bCs/>
          <w:kern w:val="0"/>
          <w:sz w:val="21"/>
          <w:szCs w:val="21"/>
        </w:rPr>
        <w:t>旱灌</w:t>
      </w:r>
    </w:p>
    <w:p>
      <w:pPr>
        <w:widowControl/>
        <w:spacing w:line="360" w:lineRule="exact"/>
        <w:ind w:firstLine="422" w:firstLineChars="200"/>
        <w:jc w:val="left"/>
        <w:rPr>
          <w:rFonts w:ascii="宋体" w:hAnsi="宋体" w:eastAsia="宋体"/>
          <w:sz w:val="21"/>
          <w:szCs w:val="21"/>
        </w:rPr>
      </w:pPr>
      <w:r>
        <w:rPr>
          <w:rFonts w:hint="eastAsia" w:ascii="宋体" w:hAnsi="宋体" w:eastAsia="宋体"/>
          <w:b/>
          <w:bCs/>
          <w:kern w:val="0"/>
          <w:sz w:val="21"/>
          <w:szCs w:val="21"/>
        </w:rPr>
        <w:t xml:space="preserve">播后灌跑马水 </w:t>
      </w:r>
      <w:r>
        <w:rPr>
          <w:rFonts w:ascii="宋体" w:hAnsi="宋体" w:eastAsia="宋体"/>
          <w:b/>
          <w:bCs/>
          <w:kern w:val="0"/>
          <w:sz w:val="21"/>
          <w:szCs w:val="21"/>
        </w:rPr>
        <w:t xml:space="preserve"> </w:t>
      </w:r>
      <w:r>
        <w:rPr>
          <w:rFonts w:hint="eastAsia" w:ascii="宋体" w:hAnsi="宋体" w:eastAsia="宋体"/>
          <w:bCs/>
          <w:kern w:val="0"/>
          <w:sz w:val="21"/>
          <w:szCs w:val="21"/>
        </w:rPr>
        <w:t>干旱</w:t>
      </w:r>
      <w:r>
        <w:rPr>
          <w:rFonts w:ascii="宋体" w:hAnsi="宋体" w:eastAsia="宋体"/>
          <w:sz w:val="21"/>
          <w:szCs w:val="21"/>
        </w:rPr>
        <w:t>地区，</w:t>
      </w:r>
      <w:r>
        <w:rPr>
          <w:rFonts w:hint="eastAsia" w:ascii="宋体" w:hAnsi="宋体" w:eastAsia="宋体"/>
          <w:sz w:val="21"/>
          <w:szCs w:val="21"/>
        </w:rPr>
        <w:t>根据土壤墒情在播后可立即灌跑马水或利用开好的田内三沟进行窨水（满沟水渗透，田面不积水），实现一播全苗。</w:t>
      </w:r>
    </w:p>
    <w:p>
      <w:pPr>
        <w:widowControl/>
        <w:spacing w:line="360" w:lineRule="exact"/>
        <w:ind w:firstLine="422" w:firstLineChars="200"/>
        <w:jc w:val="left"/>
        <w:rPr>
          <w:rFonts w:ascii="宋体" w:hAnsi="宋体" w:eastAsia="宋体"/>
          <w:sz w:val="21"/>
          <w:szCs w:val="21"/>
        </w:rPr>
      </w:pPr>
      <w:r>
        <w:rPr>
          <w:rFonts w:hint="eastAsia" w:ascii="宋体" w:hAnsi="宋体" w:eastAsia="宋体"/>
          <w:b/>
          <w:bCs/>
          <w:kern w:val="0"/>
          <w:sz w:val="21"/>
          <w:szCs w:val="21"/>
        </w:rPr>
        <w:t xml:space="preserve">越冬水或拔节水 </w:t>
      </w:r>
      <w:r>
        <w:rPr>
          <w:rFonts w:ascii="宋体" w:hAnsi="宋体" w:eastAsia="宋体"/>
          <w:b/>
          <w:bCs/>
          <w:kern w:val="0"/>
          <w:sz w:val="21"/>
          <w:szCs w:val="21"/>
        </w:rPr>
        <w:t xml:space="preserve"> </w:t>
      </w:r>
      <w:r>
        <w:rPr>
          <w:rFonts w:hint="eastAsia" w:ascii="宋体" w:hAnsi="宋体" w:eastAsia="宋体"/>
          <w:sz w:val="21"/>
          <w:szCs w:val="21"/>
        </w:rPr>
        <w:t>冬前遇旱象（土壤20cm耕作层田间持水量低于60～65%），灌一定量越冬水，保证足墒越冬；春后遇旱，在拔节期结合施拔节肥，主动灌溉，促进拔节肥效的发挥。</w:t>
      </w:r>
    </w:p>
    <w:p>
      <w:pPr>
        <w:spacing w:line="360" w:lineRule="exact"/>
        <w:rPr>
          <w:rFonts w:ascii="宋体" w:hAnsi="宋体" w:eastAsia="宋体"/>
          <w:b/>
          <w:sz w:val="21"/>
          <w:szCs w:val="21"/>
        </w:rPr>
      </w:pPr>
      <w:r>
        <w:rPr>
          <w:rFonts w:hint="eastAsia" w:ascii="宋体" w:hAnsi="宋体" w:eastAsia="宋体"/>
          <w:b/>
          <w:sz w:val="21"/>
          <w:szCs w:val="21"/>
        </w:rPr>
        <w:t>5.</w:t>
      </w:r>
      <w:r>
        <w:rPr>
          <w:rFonts w:ascii="宋体" w:hAnsi="宋体" w:eastAsia="宋体"/>
          <w:b/>
          <w:sz w:val="21"/>
          <w:szCs w:val="21"/>
        </w:rPr>
        <w:t>4</w:t>
      </w:r>
      <w:r>
        <w:rPr>
          <w:rFonts w:hint="eastAsia" w:ascii="宋体" w:hAnsi="宋体" w:eastAsia="宋体"/>
          <w:b/>
          <w:sz w:val="21"/>
          <w:szCs w:val="21"/>
        </w:rPr>
        <w:t>.4</w:t>
      </w:r>
      <w:r>
        <w:rPr>
          <w:rFonts w:ascii="宋体" w:hAnsi="宋体" w:eastAsia="宋体"/>
          <w:b/>
          <w:sz w:val="21"/>
          <w:szCs w:val="21"/>
        </w:rPr>
        <w:t xml:space="preserve"> </w:t>
      </w:r>
      <w:r>
        <w:rPr>
          <w:rFonts w:hint="eastAsia" w:ascii="宋体" w:hAnsi="宋体" w:eastAsia="宋体"/>
          <w:b/>
          <w:sz w:val="21"/>
          <w:szCs w:val="21"/>
        </w:rPr>
        <w:t>排涝降渍</w:t>
      </w:r>
    </w:p>
    <w:p>
      <w:pPr>
        <w:spacing w:line="360" w:lineRule="exact"/>
        <w:ind w:firstLine="315" w:firstLineChars="150"/>
        <w:rPr>
          <w:rFonts w:ascii="宋体" w:hAnsi="宋体" w:eastAsia="宋体"/>
          <w:sz w:val="21"/>
          <w:szCs w:val="21"/>
        </w:rPr>
      </w:pPr>
      <w:r>
        <w:rPr>
          <w:rFonts w:hint="eastAsia" w:ascii="宋体" w:hAnsi="宋体" w:eastAsia="宋体"/>
          <w:sz w:val="21"/>
          <w:szCs w:val="21"/>
        </w:rPr>
        <w:t>雨水</w:t>
      </w:r>
      <w:r>
        <w:rPr>
          <w:rFonts w:ascii="宋体" w:hAnsi="宋体" w:eastAsia="宋体"/>
          <w:sz w:val="21"/>
          <w:szCs w:val="21"/>
        </w:rPr>
        <w:t>较多地区，</w:t>
      </w:r>
      <w:r>
        <w:rPr>
          <w:rFonts w:hint="eastAsia" w:ascii="宋体" w:hAnsi="宋体" w:eastAsia="宋体"/>
          <w:sz w:val="21"/>
          <w:szCs w:val="21"/>
        </w:rPr>
        <w:t>应及时疏通沟系、排涝降渍，特别是拔节孕穗以后要确保田间无积水、雨止田干。</w:t>
      </w:r>
    </w:p>
    <w:p>
      <w:pPr>
        <w:widowControl/>
        <w:spacing w:line="360" w:lineRule="exact"/>
        <w:jc w:val="left"/>
        <w:rPr>
          <w:rFonts w:ascii="宋体" w:hAnsi="宋体" w:eastAsia="宋体"/>
          <w:sz w:val="21"/>
          <w:szCs w:val="21"/>
        </w:rPr>
      </w:pPr>
      <w:r>
        <w:rPr>
          <w:rFonts w:hint="eastAsia" w:ascii="宋体" w:hAnsi="宋体" w:eastAsia="宋体"/>
          <w:b/>
          <w:bCs/>
          <w:kern w:val="0"/>
          <w:sz w:val="21"/>
          <w:szCs w:val="21"/>
        </w:rPr>
        <w:t>5.</w:t>
      </w:r>
      <w:r>
        <w:rPr>
          <w:rFonts w:ascii="宋体" w:hAnsi="宋体" w:eastAsia="宋体"/>
          <w:b/>
          <w:bCs/>
          <w:kern w:val="0"/>
          <w:sz w:val="21"/>
          <w:szCs w:val="21"/>
        </w:rPr>
        <w:t>4</w:t>
      </w:r>
      <w:r>
        <w:rPr>
          <w:rFonts w:hint="eastAsia" w:ascii="宋体" w:hAnsi="宋体" w:eastAsia="宋体"/>
          <w:b/>
          <w:bCs/>
          <w:kern w:val="0"/>
          <w:sz w:val="21"/>
          <w:szCs w:val="21"/>
        </w:rPr>
        <w:t>.</w:t>
      </w:r>
      <w:r>
        <w:rPr>
          <w:rFonts w:ascii="宋体" w:hAnsi="宋体" w:eastAsia="宋体"/>
          <w:b/>
          <w:bCs/>
          <w:kern w:val="0"/>
          <w:sz w:val="21"/>
          <w:szCs w:val="21"/>
        </w:rPr>
        <w:t xml:space="preserve">5 </w:t>
      </w:r>
      <w:r>
        <w:rPr>
          <w:rFonts w:hint="eastAsia" w:ascii="宋体" w:hAnsi="宋体" w:eastAsia="宋体"/>
          <w:b/>
          <w:bCs/>
          <w:kern w:val="0"/>
          <w:sz w:val="21"/>
          <w:szCs w:val="21"/>
        </w:rPr>
        <w:t>涝渍灾后补救</w:t>
      </w:r>
    </w:p>
    <w:p>
      <w:pPr>
        <w:spacing w:line="360" w:lineRule="exact"/>
        <w:ind w:firstLine="435"/>
        <w:rPr>
          <w:rFonts w:ascii="宋体" w:hAnsi="宋体" w:eastAsia="宋体"/>
          <w:sz w:val="21"/>
          <w:szCs w:val="21"/>
        </w:rPr>
      </w:pPr>
      <w:r>
        <w:rPr>
          <w:rFonts w:hint="eastAsia" w:ascii="宋体" w:hAnsi="宋体" w:eastAsia="宋体"/>
          <w:sz w:val="21"/>
          <w:szCs w:val="21"/>
        </w:rPr>
        <w:t>渍害</w:t>
      </w:r>
      <w:r>
        <w:rPr>
          <w:rFonts w:ascii="宋体" w:hAnsi="宋体" w:eastAsia="宋体"/>
          <w:sz w:val="21"/>
          <w:szCs w:val="21"/>
        </w:rPr>
        <w:t>发生前后可</w:t>
      </w:r>
      <w:r>
        <w:rPr>
          <w:rFonts w:hint="eastAsia" w:ascii="宋体" w:hAnsi="宋体" w:eastAsia="宋体"/>
          <w:sz w:val="21"/>
          <w:szCs w:val="21"/>
        </w:rPr>
        <w:t>选</w:t>
      </w:r>
      <w:r>
        <w:rPr>
          <w:rFonts w:ascii="宋体" w:hAnsi="宋体" w:eastAsia="宋体"/>
          <w:sz w:val="21"/>
          <w:szCs w:val="21"/>
        </w:rPr>
        <w:t>用外源调节物质缓解渍害，渍害发生前</w:t>
      </w:r>
      <w:r>
        <w:rPr>
          <w:rFonts w:hint="eastAsia" w:ascii="宋体" w:hAnsi="宋体" w:eastAsia="宋体"/>
          <w:sz w:val="21"/>
          <w:szCs w:val="21"/>
        </w:rPr>
        <w:t>以喷施</w:t>
      </w:r>
      <w:r>
        <w:rPr>
          <w:rFonts w:ascii="宋体" w:hAnsi="宋体" w:eastAsia="宋体"/>
          <w:sz w:val="21"/>
          <w:szCs w:val="21"/>
        </w:rPr>
        <w:t>多元刺激素为主，激发小麦植株产生抗性</w:t>
      </w:r>
      <w:r>
        <w:rPr>
          <w:rFonts w:hint="eastAsia" w:ascii="宋体" w:hAnsi="宋体" w:eastAsia="宋体"/>
          <w:sz w:val="21"/>
          <w:szCs w:val="21"/>
        </w:rPr>
        <w:t>；</w:t>
      </w:r>
      <w:r>
        <w:rPr>
          <w:rFonts w:ascii="宋体" w:hAnsi="宋体" w:eastAsia="宋体"/>
          <w:sz w:val="21"/>
          <w:szCs w:val="21"/>
        </w:rPr>
        <w:t>渍害发生后，</w:t>
      </w:r>
      <w:r>
        <w:rPr>
          <w:rFonts w:hint="eastAsia" w:ascii="宋体" w:hAnsi="宋体" w:eastAsia="宋体"/>
          <w:sz w:val="21"/>
          <w:szCs w:val="21"/>
        </w:rPr>
        <w:t>采用</w:t>
      </w:r>
      <w:r>
        <w:rPr>
          <w:rFonts w:ascii="宋体" w:hAnsi="宋体" w:eastAsia="宋体"/>
          <w:sz w:val="21"/>
          <w:szCs w:val="21"/>
        </w:rPr>
        <w:t>外源调节剂和速效肥料配合施用效果较好。</w:t>
      </w:r>
    </w:p>
    <w:p>
      <w:pPr>
        <w:widowControl/>
        <w:spacing w:line="360" w:lineRule="exact"/>
        <w:jc w:val="left"/>
        <w:rPr>
          <w:rFonts w:ascii="宋体" w:hAnsi="宋体" w:eastAsia="宋体"/>
          <w:b/>
          <w:bCs/>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5 </w:t>
      </w:r>
      <w:r>
        <w:rPr>
          <w:rFonts w:hint="eastAsia" w:ascii="宋体" w:hAnsi="宋体" w:eastAsia="宋体"/>
          <w:b/>
          <w:bCs/>
          <w:kern w:val="0"/>
          <w:sz w:val="21"/>
          <w:szCs w:val="21"/>
        </w:rPr>
        <w:t>病虫草害防治</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5</w:t>
      </w:r>
      <w:r>
        <w:rPr>
          <w:rFonts w:hint="eastAsia" w:ascii="宋体" w:hAnsi="宋体" w:eastAsia="宋体"/>
          <w:b/>
          <w:bCs/>
          <w:kern w:val="0"/>
          <w:sz w:val="21"/>
          <w:szCs w:val="21"/>
        </w:rPr>
        <w:t>.1农药使用准则</w:t>
      </w:r>
    </w:p>
    <w:p>
      <w:pPr>
        <w:spacing w:line="360" w:lineRule="exact"/>
        <w:ind w:firstLine="435"/>
        <w:rPr>
          <w:rFonts w:ascii="宋体" w:hAnsi="宋体" w:eastAsia="宋体"/>
          <w:sz w:val="21"/>
          <w:szCs w:val="21"/>
        </w:rPr>
      </w:pPr>
      <w:r>
        <w:rPr>
          <w:rFonts w:hint="eastAsia" w:ascii="宋体" w:hAnsi="宋体" w:eastAsia="宋体"/>
          <w:sz w:val="21"/>
          <w:szCs w:val="21"/>
        </w:rPr>
        <w:t>农药的合理用量和安全间隔期执行</w:t>
      </w:r>
      <w:r>
        <w:rPr>
          <w:rFonts w:ascii="宋体" w:hAnsi="宋体" w:eastAsia="宋体"/>
          <w:sz w:val="21"/>
          <w:szCs w:val="21"/>
        </w:rPr>
        <w:t>GB4285</w:t>
      </w:r>
      <w:r>
        <w:rPr>
          <w:rFonts w:hint="eastAsia" w:ascii="宋体" w:hAnsi="宋体" w:eastAsia="宋体"/>
          <w:sz w:val="21"/>
          <w:szCs w:val="21"/>
        </w:rPr>
        <w:t>-1989和</w:t>
      </w:r>
      <w:r>
        <w:rPr>
          <w:rFonts w:ascii="宋体" w:hAnsi="宋体" w:eastAsia="宋体"/>
          <w:sz w:val="21"/>
          <w:szCs w:val="21"/>
        </w:rPr>
        <w:t>GB/T8321</w:t>
      </w:r>
      <w:r>
        <w:rPr>
          <w:rFonts w:hint="eastAsia" w:ascii="宋体" w:hAnsi="宋体" w:eastAsia="宋体"/>
          <w:sz w:val="21"/>
          <w:szCs w:val="21"/>
        </w:rPr>
        <w:t>的规定。</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5</w:t>
      </w:r>
      <w:r>
        <w:rPr>
          <w:rFonts w:hint="eastAsia" w:ascii="宋体" w:hAnsi="宋体" w:eastAsia="宋体"/>
          <w:b/>
          <w:bCs/>
          <w:kern w:val="0"/>
          <w:sz w:val="21"/>
          <w:szCs w:val="21"/>
        </w:rPr>
        <w:t>.</w:t>
      </w:r>
      <w:r>
        <w:rPr>
          <w:rFonts w:ascii="宋体" w:hAnsi="宋体" w:eastAsia="宋体"/>
          <w:b/>
          <w:bCs/>
          <w:kern w:val="0"/>
          <w:sz w:val="21"/>
          <w:szCs w:val="21"/>
        </w:rPr>
        <w:t>2</w:t>
      </w:r>
      <w:r>
        <w:rPr>
          <w:rFonts w:hint="eastAsia" w:ascii="宋体" w:hAnsi="宋体" w:eastAsia="宋体"/>
          <w:b/>
          <w:bCs/>
          <w:kern w:val="0"/>
          <w:sz w:val="21"/>
          <w:szCs w:val="21"/>
        </w:rPr>
        <w:t xml:space="preserve"> 主要病虫草害防除技术</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5</w:t>
      </w:r>
      <w:r>
        <w:rPr>
          <w:rFonts w:hint="eastAsia" w:ascii="宋体" w:hAnsi="宋体" w:eastAsia="宋体"/>
          <w:b/>
          <w:bCs/>
          <w:kern w:val="0"/>
          <w:sz w:val="21"/>
          <w:szCs w:val="21"/>
        </w:rPr>
        <w:t>.2.1苗期</w:t>
      </w:r>
    </w:p>
    <w:p>
      <w:pPr>
        <w:spacing w:line="360" w:lineRule="exact"/>
        <w:ind w:firstLine="435"/>
        <w:rPr>
          <w:rFonts w:ascii="宋体" w:hAnsi="宋体" w:eastAsia="宋体"/>
          <w:sz w:val="21"/>
          <w:szCs w:val="21"/>
        </w:rPr>
      </w:pPr>
      <w:r>
        <w:rPr>
          <w:rFonts w:hint="eastAsia" w:ascii="宋体" w:hAnsi="宋体" w:eastAsia="宋体"/>
          <w:sz w:val="21"/>
          <w:szCs w:val="21"/>
        </w:rPr>
        <w:t>冬季化除：小麦播种盖土后，墒情适宜时可选用适宜除草剂，兑水土表均匀喷雾，进行封闭化除。封闭效果不好时，于冬小麦苗3叶1心期前后，封杀结合，农药的合理用量和安全间隔期执行GB4285-1989和GB/T8321的规定。</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5</w:t>
      </w:r>
      <w:r>
        <w:rPr>
          <w:rFonts w:hint="eastAsia" w:ascii="宋体" w:hAnsi="宋体" w:eastAsia="宋体"/>
          <w:b/>
          <w:bCs/>
          <w:kern w:val="0"/>
          <w:sz w:val="21"/>
          <w:szCs w:val="21"/>
        </w:rPr>
        <w:t>.2.2返青至拔节期</w:t>
      </w:r>
    </w:p>
    <w:p>
      <w:pPr>
        <w:widowControl/>
        <w:spacing w:line="360" w:lineRule="exact"/>
        <w:ind w:firstLine="420" w:firstLineChars="200"/>
        <w:jc w:val="left"/>
        <w:rPr>
          <w:rFonts w:ascii="宋体" w:hAnsi="宋体" w:eastAsia="宋体"/>
          <w:sz w:val="21"/>
          <w:szCs w:val="21"/>
        </w:rPr>
      </w:pPr>
      <w:r>
        <w:rPr>
          <w:rFonts w:hint="eastAsia" w:ascii="宋体" w:hAnsi="宋体" w:eastAsia="宋体"/>
          <w:sz w:val="21"/>
          <w:szCs w:val="21"/>
        </w:rPr>
        <w:t>春季化除：若田间小麦已有10%拔节，此时田间除草风险较大，需要注意用药及用药环境，打药前气温稳定，早晨田间没有下霜，打药后15天之内没有零度以下低温。</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5.2.3 </w:t>
      </w:r>
      <w:r>
        <w:rPr>
          <w:rFonts w:hint="eastAsia" w:ascii="宋体" w:hAnsi="宋体" w:eastAsia="宋体"/>
          <w:b/>
          <w:bCs/>
          <w:kern w:val="0"/>
          <w:sz w:val="21"/>
          <w:szCs w:val="21"/>
        </w:rPr>
        <w:t>穗期</w:t>
      </w:r>
    </w:p>
    <w:p>
      <w:pPr>
        <w:spacing w:line="360" w:lineRule="exact"/>
        <w:ind w:firstLine="435"/>
        <w:rPr>
          <w:rFonts w:ascii="宋体" w:hAnsi="宋体" w:eastAsia="宋体"/>
          <w:sz w:val="21"/>
          <w:szCs w:val="21"/>
        </w:rPr>
      </w:pPr>
      <w:r>
        <w:rPr>
          <w:rFonts w:hint="eastAsia" w:ascii="宋体" w:hAnsi="宋体" w:eastAsia="宋体"/>
          <w:sz w:val="21"/>
          <w:szCs w:val="21"/>
        </w:rPr>
        <w:t>防治赤霉病、白粉病、锈病、蚜虫。白粉病早发重发年份，进行拔节孕穗期、扬花灌浆期2次防治。</w:t>
      </w:r>
    </w:p>
    <w:p>
      <w:pPr>
        <w:spacing w:line="360" w:lineRule="exact"/>
        <w:ind w:firstLine="435"/>
        <w:rPr>
          <w:rFonts w:ascii="宋体" w:hAnsi="宋体" w:eastAsia="宋体"/>
          <w:sz w:val="21"/>
          <w:szCs w:val="21"/>
        </w:rPr>
      </w:pPr>
      <w:r>
        <w:rPr>
          <w:rFonts w:hint="eastAsia" w:ascii="宋体" w:hAnsi="宋体" w:eastAsia="宋体"/>
          <w:sz w:val="21"/>
          <w:szCs w:val="21"/>
        </w:rPr>
        <w:t>小麦抽穗扬花期，重点防治赤霉病，兼治其它病虫。</w:t>
      </w:r>
    </w:p>
    <w:p>
      <w:pPr>
        <w:widowControl/>
        <w:spacing w:line="360" w:lineRule="exact"/>
        <w:jc w:val="left"/>
        <w:rPr>
          <w:rFonts w:ascii="宋体" w:hAnsi="宋体" w:eastAsia="宋体"/>
          <w:b/>
          <w:bCs/>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6 </w:t>
      </w:r>
      <w:r>
        <w:rPr>
          <w:rFonts w:hint="eastAsia" w:ascii="宋体" w:hAnsi="宋体" w:eastAsia="宋体"/>
          <w:b/>
          <w:bCs/>
          <w:kern w:val="0"/>
          <w:sz w:val="21"/>
          <w:szCs w:val="21"/>
        </w:rPr>
        <w:t>化控</w:t>
      </w:r>
    </w:p>
    <w:p>
      <w:pPr>
        <w:widowControl/>
        <w:spacing w:line="360" w:lineRule="exact"/>
        <w:jc w:val="left"/>
        <w:rPr>
          <w:rFonts w:ascii="宋体" w:hAnsi="宋体" w:eastAsia="宋体"/>
          <w:b/>
          <w:bCs/>
          <w:sz w:val="21"/>
          <w:szCs w:val="21"/>
        </w:rPr>
      </w:pPr>
      <w:r>
        <w:rPr>
          <w:rFonts w:hint="eastAsia" w:ascii="宋体" w:hAnsi="宋体" w:eastAsia="宋体"/>
          <w:b/>
          <w:bCs/>
          <w:kern w:val="0"/>
          <w:sz w:val="21"/>
          <w:szCs w:val="21"/>
        </w:rPr>
        <w:t>5.</w:t>
      </w:r>
      <w:r>
        <w:rPr>
          <w:rFonts w:ascii="宋体" w:hAnsi="宋体" w:eastAsia="宋体"/>
          <w:b/>
          <w:bCs/>
          <w:kern w:val="0"/>
          <w:sz w:val="21"/>
          <w:szCs w:val="21"/>
        </w:rPr>
        <w:t>6</w:t>
      </w:r>
      <w:r>
        <w:rPr>
          <w:rFonts w:hint="eastAsia" w:ascii="宋体" w:hAnsi="宋体" w:eastAsia="宋体"/>
          <w:b/>
          <w:bCs/>
          <w:kern w:val="0"/>
          <w:sz w:val="21"/>
          <w:szCs w:val="21"/>
        </w:rPr>
        <w:t>.1化控防倒</w:t>
      </w:r>
    </w:p>
    <w:p>
      <w:pPr>
        <w:spacing w:line="360" w:lineRule="exact"/>
        <w:ind w:firstLine="435"/>
        <w:rPr>
          <w:rFonts w:ascii="宋体" w:hAnsi="宋体" w:eastAsia="宋体"/>
          <w:sz w:val="21"/>
          <w:szCs w:val="21"/>
        </w:rPr>
      </w:pPr>
      <w:r>
        <w:rPr>
          <w:rFonts w:hint="eastAsia" w:ascii="宋体" w:hAnsi="宋体" w:eastAsia="宋体"/>
          <w:sz w:val="21"/>
          <w:szCs w:val="21"/>
        </w:rPr>
        <w:t>建立合适群体，群体较大田块于苗期、拔节前（</w:t>
      </w:r>
      <w:r>
        <w:rPr>
          <w:rFonts w:ascii="宋体" w:hAnsi="宋体" w:eastAsia="宋体"/>
          <w:sz w:val="21"/>
          <w:szCs w:val="21"/>
        </w:rPr>
        <w:t>2</w:t>
      </w:r>
      <w:r>
        <w:rPr>
          <w:rFonts w:hint="eastAsia" w:ascii="宋体" w:hAnsi="宋体" w:eastAsia="宋体"/>
          <w:sz w:val="21"/>
          <w:szCs w:val="21"/>
        </w:rPr>
        <w:t>月底或</w:t>
      </w:r>
      <w:r>
        <w:rPr>
          <w:rFonts w:ascii="宋体" w:hAnsi="宋体" w:eastAsia="宋体"/>
          <w:sz w:val="21"/>
          <w:szCs w:val="21"/>
        </w:rPr>
        <w:t>3</w:t>
      </w:r>
      <w:r>
        <w:rPr>
          <w:rFonts w:hint="eastAsia" w:ascii="宋体" w:hAnsi="宋体" w:eastAsia="宋体"/>
          <w:sz w:val="21"/>
          <w:szCs w:val="21"/>
        </w:rPr>
        <w:t>月初）可叶面喷施具有防止节间生长过长作用的化学调节剂，增强茎秆抗倒伏性能。</w:t>
      </w:r>
    </w:p>
    <w:p>
      <w:pPr>
        <w:widowControl/>
        <w:spacing w:line="360" w:lineRule="exact"/>
        <w:jc w:val="left"/>
        <w:rPr>
          <w:rFonts w:ascii="宋体" w:hAnsi="宋体" w:eastAsia="宋体"/>
          <w:sz w:val="21"/>
          <w:szCs w:val="21"/>
        </w:rPr>
      </w:pPr>
      <w:r>
        <w:rPr>
          <w:rFonts w:hint="eastAsia" w:ascii="宋体" w:hAnsi="宋体" w:eastAsia="宋体"/>
          <w:b/>
          <w:bCs/>
          <w:kern w:val="0"/>
          <w:sz w:val="21"/>
          <w:szCs w:val="21"/>
        </w:rPr>
        <w:t>5.</w:t>
      </w:r>
      <w:r>
        <w:rPr>
          <w:rFonts w:ascii="宋体" w:hAnsi="宋体" w:eastAsia="宋体"/>
          <w:b/>
          <w:bCs/>
          <w:kern w:val="0"/>
          <w:sz w:val="21"/>
          <w:szCs w:val="21"/>
        </w:rPr>
        <w:t>6</w:t>
      </w:r>
      <w:r>
        <w:rPr>
          <w:rFonts w:hint="eastAsia" w:ascii="宋体" w:hAnsi="宋体" w:eastAsia="宋体"/>
          <w:b/>
          <w:bCs/>
          <w:kern w:val="0"/>
          <w:sz w:val="21"/>
          <w:szCs w:val="21"/>
        </w:rPr>
        <w:t>.2防早衰</w:t>
      </w:r>
    </w:p>
    <w:p>
      <w:pPr>
        <w:spacing w:line="360" w:lineRule="exact"/>
        <w:ind w:firstLine="435"/>
        <w:rPr>
          <w:rFonts w:ascii="宋体" w:hAnsi="宋体" w:eastAsia="宋体"/>
          <w:sz w:val="21"/>
          <w:szCs w:val="21"/>
        </w:rPr>
      </w:pPr>
      <w:r>
        <w:rPr>
          <w:rFonts w:hint="eastAsia" w:ascii="宋体" w:hAnsi="宋体" w:eastAsia="宋体"/>
          <w:sz w:val="21"/>
          <w:szCs w:val="21"/>
        </w:rPr>
        <w:t>在</w:t>
      </w:r>
      <w:r>
        <w:rPr>
          <w:rFonts w:ascii="宋体" w:hAnsi="宋体" w:eastAsia="宋体"/>
          <w:sz w:val="21"/>
          <w:szCs w:val="21"/>
        </w:rPr>
        <w:t>4</w:t>
      </w:r>
      <w:r>
        <w:rPr>
          <w:rFonts w:hint="eastAsia" w:ascii="宋体" w:hAnsi="宋体" w:eastAsia="宋体"/>
          <w:sz w:val="21"/>
          <w:szCs w:val="21"/>
        </w:rPr>
        <w:t>月中下旬进行“一喷三防”。叶面喷施杀虫剂、杀菌剂、植物生长调节剂等混配液，一次施药，达到预防病虫害、防早衰、防干热风的目的，增加小麦的粒重，提高小麦的产量和品质。</w:t>
      </w:r>
    </w:p>
    <w:p>
      <w:pPr>
        <w:spacing w:line="360" w:lineRule="exact"/>
        <w:ind w:firstLine="435"/>
        <w:rPr>
          <w:rFonts w:ascii="宋体" w:hAnsi="宋体" w:eastAsia="宋体"/>
          <w:sz w:val="21"/>
          <w:szCs w:val="21"/>
        </w:rPr>
      </w:pP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7 </w:t>
      </w:r>
      <w:r>
        <w:rPr>
          <w:rFonts w:hint="eastAsia" w:ascii="宋体" w:hAnsi="宋体" w:eastAsia="宋体"/>
          <w:b/>
          <w:bCs/>
          <w:kern w:val="0"/>
          <w:sz w:val="21"/>
          <w:szCs w:val="21"/>
        </w:rPr>
        <w:t>收获与贮藏</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7.1</w:t>
      </w:r>
      <w:r>
        <w:rPr>
          <w:rFonts w:hint="eastAsia" w:ascii="宋体" w:hAnsi="宋体" w:eastAsia="宋体"/>
          <w:b/>
          <w:bCs/>
          <w:kern w:val="0"/>
          <w:sz w:val="21"/>
          <w:szCs w:val="21"/>
        </w:rPr>
        <w:t>收获</w:t>
      </w:r>
    </w:p>
    <w:p>
      <w:pPr>
        <w:spacing w:line="360" w:lineRule="exact"/>
        <w:ind w:firstLine="435"/>
        <w:rPr>
          <w:rFonts w:ascii="宋体" w:hAnsi="宋体" w:eastAsia="宋体"/>
          <w:sz w:val="21"/>
          <w:szCs w:val="21"/>
        </w:rPr>
      </w:pPr>
      <w:r>
        <w:rPr>
          <w:rFonts w:hint="eastAsia" w:ascii="宋体" w:hAnsi="宋体" w:eastAsia="宋体"/>
          <w:sz w:val="21"/>
          <w:szCs w:val="21"/>
        </w:rPr>
        <w:t>小麦适宜收获期为蜡熟末期，一般在5月下旬左右，此时籽粒金黄色，籽粒坚硬，含水量在</w:t>
      </w:r>
      <w:r>
        <w:rPr>
          <w:rFonts w:ascii="宋体" w:hAnsi="宋体" w:eastAsia="宋体"/>
          <w:sz w:val="21"/>
          <w:szCs w:val="21"/>
        </w:rPr>
        <w:t>22</w:t>
      </w:r>
      <w:r>
        <w:rPr>
          <w:rFonts w:hint="eastAsia" w:ascii="宋体" w:hAnsi="宋体" w:eastAsia="宋体"/>
          <w:sz w:val="21"/>
          <w:szCs w:val="21"/>
        </w:rPr>
        <w:t>～</w:t>
      </w:r>
      <w:r>
        <w:rPr>
          <w:rFonts w:ascii="宋体" w:hAnsi="宋体" w:eastAsia="宋体"/>
          <w:sz w:val="21"/>
          <w:szCs w:val="21"/>
        </w:rPr>
        <w:t>24%</w:t>
      </w:r>
      <w:r>
        <w:rPr>
          <w:rFonts w:hint="eastAsia" w:ascii="宋体" w:hAnsi="宋体" w:eastAsia="宋体"/>
          <w:sz w:val="21"/>
          <w:szCs w:val="21"/>
        </w:rPr>
        <w:t>左右。</w:t>
      </w:r>
    </w:p>
    <w:p>
      <w:pPr>
        <w:spacing w:line="360" w:lineRule="exact"/>
        <w:ind w:firstLine="435"/>
        <w:rPr>
          <w:rFonts w:ascii="宋体" w:hAnsi="宋体" w:eastAsia="宋体"/>
          <w:sz w:val="21"/>
          <w:szCs w:val="21"/>
        </w:rPr>
      </w:pPr>
      <w:r>
        <w:rPr>
          <w:rFonts w:hint="eastAsia" w:ascii="宋体" w:hAnsi="宋体" w:eastAsia="宋体"/>
          <w:sz w:val="21"/>
          <w:szCs w:val="21"/>
        </w:rPr>
        <w:t>优质专用小麦收获时应分类收贮，即同一品种、相近田块与管理技术一致的小麦同期收获贮藏，禁止混收混贮。</w:t>
      </w:r>
    </w:p>
    <w:p>
      <w:pPr>
        <w:spacing w:line="360" w:lineRule="exact"/>
        <w:ind w:firstLine="435"/>
        <w:rPr>
          <w:rFonts w:ascii="宋体" w:hAnsi="宋体" w:eastAsia="宋体"/>
          <w:sz w:val="21"/>
          <w:szCs w:val="21"/>
        </w:rPr>
      </w:pPr>
      <w:r>
        <w:rPr>
          <w:rFonts w:hint="eastAsia" w:ascii="宋体" w:hAnsi="宋体" w:eastAsia="宋体"/>
          <w:sz w:val="21"/>
          <w:szCs w:val="21"/>
        </w:rPr>
        <w:t>小麦在临近成熟时如遭遇连绵阴雨的天气，会造成穗发霉、发芽，应根据当地气候条件特点，选择抗穗发芽品种；适当调整收获期，避开雨季；还可以采用药剂处理降低种子发芽率。</w:t>
      </w:r>
    </w:p>
    <w:p>
      <w:pPr>
        <w:widowControl/>
        <w:spacing w:line="360" w:lineRule="exact"/>
        <w:jc w:val="left"/>
        <w:rPr>
          <w:rFonts w:ascii="宋体" w:hAnsi="宋体" w:eastAsia="宋体"/>
          <w:b/>
          <w:bCs/>
          <w:kern w:val="0"/>
          <w:sz w:val="21"/>
          <w:szCs w:val="21"/>
        </w:rPr>
      </w:pPr>
      <w:r>
        <w:rPr>
          <w:rFonts w:hint="eastAsia" w:ascii="宋体" w:hAnsi="宋体" w:eastAsia="宋体"/>
          <w:b/>
          <w:bCs/>
          <w:kern w:val="0"/>
          <w:sz w:val="21"/>
          <w:szCs w:val="21"/>
        </w:rPr>
        <w:t>5.</w:t>
      </w:r>
      <w:r>
        <w:rPr>
          <w:rFonts w:ascii="宋体" w:hAnsi="宋体" w:eastAsia="宋体"/>
          <w:b/>
          <w:bCs/>
          <w:kern w:val="0"/>
          <w:sz w:val="21"/>
          <w:szCs w:val="21"/>
        </w:rPr>
        <w:t xml:space="preserve">7.2 </w:t>
      </w:r>
      <w:r>
        <w:rPr>
          <w:rFonts w:hint="eastAsia" w:ascii="宋体" w:hAnsi="宋体" w:eastAsia="宋体"/>
          <w:b/>
          <w:bCs/>
          <w:kern w:val="0"/>
          <w:sz w:val="21"/>
          <w:szCs w:val="21"/>
        </w:rPr>
        <w:t>贮藏技术</w:t>
      </w:r>
    </w:p>
    <w:p>
      <w:pPr>
        <w:pStyle w:val="13"/>
        <w:spacing w:before="156" w:beforeLines="50" w:beforeAutospacing="0" w:after="156" w:afterLines="50" w:afterAutospacing="0" w:line="440" w:lineRule="exact"/>
        <w:ind w:firstLine="420" w:firstLineChars="200"/>
        <w:rPr>
          <w:kern w:val="2"/>
          <w:sz w:val="21"/>
          <w:szCs w:val="21"/>
        </w:rPr>
      </w:pPr>
      <w:r>
        <w:rPr>
          <w:rFonts w:hint="eastAsia"/>
          <w:kern w:val="2"/>
          <w:sz w:val="21"/>
          <w:szCs w:val="21"/>
        </w:rPr>
        <w:t>小麦收获后，应尽早晒干或烘干，在小麦籽粒含水量低于12.5%时按LS/T 1211入库贮藏。</w:t>
      </w:r>
    </w:p>
    <w:p>
      <w:pPr>
        <w:pStyle w:val="13"/>
        <w:spacing w:before="156" w:beforeLines="50" w:beforeAutospacing="0" w:after="156" w:afterLines="50" w:afterAutospacing="0" w:line="440" w:lineRule="exact"/>
        <w:rPr>
          <w:sz w:val="21"/>
          <w:szCs w:val="21"/>
          <w:u w:val="thick"/>
        </w:rPr>
      </w:pPr>
      <w:r>
        <w:rPr>
          <w:sz w:val="21"/>
          <w:szCs w:val="21"/>
          <w:u w:val="thick"/>
        </w:rPr>
        <w:t xml:space="preserve">                                 </w:t>
      </w:r>
    </w:p>
    <w:p>
      <w:pPr>
        <w:pStyle w:val="13"/>
        <w:spacing w:before="156" w:beforeLines="50" w:beforeAutospacing="0" w:after="156" w:afterLines="50" w:afterAutospacing="0" w:line="440" w:lineRule="exact"/>
        <w:rPr>
          <w:u w:val="thick"/>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Style w:val="11"/>
        <w:rFonts w:ascii="宋体"/>
        <w:szCs w:val="18"/>
      </w:rPr>
    </w:pPr>
    <w:r>
      <w:rPr>
        <w:rStyle w:val="11"/>
        <w:rFonts w:ascii="宋体" w:hAnsi="宋体"/>
        <w:szCs w:val="18"/>
      </w:rPr>
      <w:fldChar w:fldCharType="begin"/>
    </w:r>
    <w:r>
      <w:rPr>
        <w:rStyle w:val="11"/>
        <w:rFonts w:ascii="宋体" w:hAnsi="宋体"/>
        <w:szCs w:val="18"/>
      </w:rPr>
      <w:instrText xml:space="preserve">PAGE  </w:instrText>
    </w:r>
    <w:r>
      <w:rPr>
        <w:rStyle w:val="11"/>
        <w:rFonts w:ascii="宋体" w:hAnsi="宋体"/>
        <w:szCs w:val="18"/>
      </w:rPr>
      <w:fldChar w:fldCharType="separate"/>
    </w:r>
    <w:r>
      <w:rPr>
        <w:rStyle w:val="11"/>
        <w:rFonts w:ascii="宋体" w:hAnsi="宋体"/>
        <w:szCs w:val="18"/>
      </w:rPr>
      <w:t>6</w:t>
    </w:r>
    <w:r>
      <w:rPr>
        <w:rStyle w:val="11"/>
        <w:rFonts w:ascii="宋体" w:hAnsi="宋体"/>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Style w:val="11"/>
      </w:rPr>
    </w:pPr>
    <w:r>
      <w:rPr>
        <w:rStyle w:val="11"/>
      </w:rPr>
      <w:fldChar w:fldCharType="begin"/>
    </w:r>
    <w:r>
      <w:rPr>
        <w:rStyle w:val="11"/>
      </w:rPr>
      <w:instrText xml:space="preserve">PAGE  </w:instrText>
    </w:r>
    <w:r>
      <w:rPr>
        <w:rStyle w:val="11"/>
      </w:rPr>
      <w:fldChar w:fldCharType="separate"/>
    </w:r>
    <w:r>
      <w:rPr>
        <w:rStyle w:val="11"/>
      </w:rPr>
      <w:t>II</w:t>
    </w:r>
    <w:r>
      <w:rPr>
        <w:rStyle w:val="1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20" w:lineRule="exact"/>
    </w:pPr>
  </w:p>
  <w:p>
    <w:pPr>
      <w:pStyle w:val="19"/>
      <w:spacing w:line="400" w:lineRule="exact"/>
      <w:rPr>
        <w:rFonts w:ascii="黑体" w:eastAsia="黑体"/>
      </w:rPr>
    </w:pPr>
    <w:r>
      <w:rPr>
        <w:rFonts w:ascii="黑体" w:eastAsia="黑体"/>
      </w:rPr>
      <w:t xml:space="preserve">DBXX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DB34/T1065—2009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hM2MwNjdkOTYzMmVhMDRhM2ZjOGM1ZGE2ZTVmNjYifQ=="/>
  </w:docVars>
  <w:rsids>
    <w:rsidRoot w:val="00A90582"/>
    <w:rsid w:val="00042F8A"/>
    <w:rsid w:val="00067372"/>
    <w:rsid w:val="00096FE7"/>
    <w:rsid w:val="000B29C2"/>
    <w:rsid w:val="000C0FB7"/>
    <w:rsid w:val="000C6982"/>
    <w:rsid w:val="000D6305"/>
    <w:rsid w:val="000E7F65"/>
    <w:rsid w:val="00100339"/>
    <w:rsid w:val="001174B0"/>
    <w:rsid w:val="00157CC7"/>
    <w:rsid w:val="001956E6"/>
    <w:rsid w:val="001A2BD3"/>
    <w:rsid w:val="001D6F2A"/>
    <w:rsid w:val="001F2D53"/>
    <w:rsid w:val="0021524F"/>
    <w:rsid w:val="00223792"/>
    <w:rsid w:val="00244D74"/>
    <w:rsid w:val="0026659F"/>
    <w:rsid w:val="00274229"/>
    <w:rsid w:val="00275A45"/>
    <w:rsid w:val="002A239D"/>
    <w:rsid w:val="002F74CB"/>
    <w:rsid w:val="00313CFA"/>
    <w:rsid w:val="00365B1D"/>
    <w:rsid w:val="003C4910"/>
    <w:rsid w:val="003E197D"/>
    <w:rsid w:val="003E461A"/>
    <w:rsid w:val="00414E06"/>
    <w:rsid w:val="00426DFA"/>
    <w:rsid w:val="00483D69"/>
    <w:rsid w:val="004A0002"/>
    <w:rsid w:val="004B3EA1"/>
    <w:rsid w:val="004C19B2"/>
    <w:rsid w:val="004C3381"/>
    <w:rsid w:val="004F3249"/>
    <w:rsid w:val="00514E4A"/>
    <w:rsid w:val="0055591E"/>
    <w:rsid w:val="005636E3"/>
    <w:rsid w:val="00590DA8"/>
    <w:rsid w:val="005A5BFB"/>
    <w:rsid w:val="005B194C"/>
    <w:rsid w:val="005C7DA8"/>
    <w:rsid w:val="005D2FEE"/>
    <w:rsid w:val="005F4C99"/>
    <w:rsid w:val="006023C7"/>
    <w:rsid w:val="006273F6"/>
    <w:rsid w:val="0063432E"/>
    <w:rsid w:val="00645C2F"/>
    <w:rsid w:val="006630D3"/>
    <w:rsid w:val="006640DE"/>
    <w:rsid w:val="0069701F"/>
    <w:rsid w:val="006A5202"/>
    <w:rsid w:val="006E0C9F"/>
    <w:rsid w:val="0073024A"/>
    <w:rsid w:val="0076426D"/>
    <w:rsid w:val="00766E1F"/>
    <w:rsid w:val="00795D57"/>
    <w:rsid w:val="007C7723"/>
    <w:rsid w:val="007C7C5E"/>
    <w:rsid w:val="007D7363"/>
    <w:rsid w:val="00806117"/>
    <w:rsid w:val="008610F0"/>
    <w:rsid w:val="00876851"/>
    <w:rsid w:val="00880898"/>
    <w:rsid w:val="00882A99"/>
    <w:rsid w:val="008A29EB"/>
    <w:rsid w:val="008A6AEB"/>
    <w:rsid w:val="008B41D5"/>
    <w:rsid w:val="008C482F"/>
    <w:rsid w:val="008C5C68"/>
    <w:rsid w:val="008C785A"/>
    <w:rsid w:val="00961DC2"/>
    <w:rsid w:val="009A6B42"/>
    <w:rsid w:val="009E0D41"/>
    <w:rsid w:val="009F3809"/>
    <w:rsid w:val="009F7928"/>
    <w:rsid w:val="00A7092F"/>
    <w:rsid w:val="00A90582"/>
    <w:rsid w:val="00A96E27"/>
    <w:rsid w:val="00AE0C28"/>
    <w:rsid w:val="00AE371C"/>
    <w:rsid w:val="00B024A1"/>
    <w:rsid w:val="00B05815"/>
    <w:rsid w:val="00B07F14"/>
    <w:rsid w:val="00B163AE"/>
    <w:rsid w:val="00B229B3"/>
    <w:rsid w:val="00B4457D"/>
    <w:rsid w:val="00B93CDE"/>
    <w:rsid w:val="00B97B52"/>
    <w:rsid w:val="00BB20C5"/>
    <w:rsid w:val="00BC56DE"/>
    <w:rsid w:val="00C200A3"/>
    <w:rsid w:val="00C43247"/>
    <w:rsid w:val="00C43F8E"/>
    <w:rsid w:val="00C64030"/>
    <w:rsid w:val="00D05F2C"/>
    <w:rsid w:val="00D11844"/>
    <w:rsid w:val="00D16F29"/>
    <w:rsid w:val="00D36F73"/>
    <w:rsid w:val="00D403F1"/>
    <w:rsid w:val="00D77585"/>
    <w:rsid w:val="00D920E9"/>
    <w:rsid w:val="00D95595"/>
    <w:rsid w:val="00DA20D3"/>
    <w:rsid w:val="00DA38E8"/>
    <w:rsid w:val="00DD4C66"/>
    <w:rsid w:val="00DE41DA"/>
    <w:rsid w:val="00DE7F65"/>
    <w:rsid w:val="00E01C2F"/>
    <w:rsid w:val="00E13665"/>
    <w:rsid w:val="00E432FA"/>
    <w:rsid w:val="00E63273"/>
    <w:rsid w:val="00E71B0E"/>
    <w:rsid w:val="00E9068F"/>
    <w:rsid w:val="00ED6FF0"/>
    <w:rsid w:val="00F0322D"/>
    <w:rsid w:val="00F03374"/>
    <w:rsid w:val="00F33854"/>
    <w:rsid w:val="00F35952"/>
    <w:rsid w:val="00F64D1F"/>
    <w:rsid w:val="00FA1A92"/>
    <w:rsid w:val="00FA72CA"/>
    <w:rsid w:val="00FA7F0C"/>
    <w:rsid w:val="00FD22D8"/>
    <w:rsid w:val="00FD76B1"/>
    <w:rsid w:val="00FF03C0"/>
    <w:rsid w:val="00FF26DD"/>
    <w:rsid w:val="5418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31"/>
    <w:uiPriority w:val="0"/>
    <w:rPr>
      <w:rFonts w:ascii="宋体" w:hAnsi="Courier New" w:eastAsia="宋体" w:cs="Courier New"/>
      <w:sz w:val="21"/>
      <w:szCs w:val="21"/>
    </w:rPr>
  </w:style>
  <w:style w:type="paragraph" w:styleId="3">
    <w:name w:val="Date"/>
    <w:basedOn w:val="1"/>
    <w:next w:val="1"/>
    <w:link w:val="32"/>
    <w:semiHidden/>
    <w:unhideWhenUsed/>
    <w:uiPriority w:val="99"/>
    <w:pPr>
      <w:ind w:left="100" w:leftChars="2500"/>
    </w:p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99"/>
    <w:rPr>
      <w:rFonts w:cs="Times New Roman"/>
      <w:b/>
    </w:rPr>
  </w:style>
  <w:style w:type="character" w:styleId="11">
    <w:name w:val="page number"/>
    <w:uiPriority w:val="99"/>
    <w:rPr>
      <w:rFonts w:ascii="Times New Roman" w:hAnsi="Times New Roman" w:eastAsia="宋体" w:cs="Times New Roman"/>
      <w:sz w:val="18"/>
    </w:rPr>
  </w:style>
  <w:style w:type="character" w:styleId="12">
    <w:name w:val="Hyperlink"/>
    <w:basedOn w:val="9"/>
    <w:semiHidden/>
    <w:unhideWhenUsed/>
    <w:uiPriority w:val="99"/>
    <w:rPr>
      <w:color w:val="0000FF"/>
      <w:u w:val="single"/>
    </w:rPr>
  </w:style>
  <w:style w:type="paragraph" w:customStyle="1" w:styleId="13">
    <w:name w:val="a2"/>
    <w:basedOn w:val="1"/>
    <w:uiPriority w:val="99"/>
    <w:pPr>
      <w:widowControl/>
      <w:spacing w:before="100" w:beforeAutospacing="1" w:after="100" w:afterAutospacing="1"/>
      <w:jc w:val="left"/>
    </w:pPr>
    <w:rPr>
      <w:rFonts w:ascii="宋体" w:hAnsi="宋体" w:eastAsia="宋体"/>
      <w:kern w:val="0"/>
      <w:sz w:val="24"/>
      <w:szCs w:val="24"/>
    </w:rPr>
  </w:style>
  <w:style w:type="character" w:customStyle="1" w:styleId="14">
    <w:name w:val="页眉 字符"/>
    <w:basedOn w:val="9"/>
    <w:link w:val="5"/>
    <w:uiPriority w:val="99"/>
    <w:rPr>
      <w:rFonts w:ascii="Times New Roman" w:hAnsi="Times New Roman" w:eastAsia="仿宋_GB2312" w:cs="Times New Roman"/>
      <w:sz w:val="18"/>
      <w:szCs w:val="18"/>
    </w:rPr>
  </w:style>
  <w:style w:type="character" w:customStyle="1" w:styleId="15">
    <w:name w:val="页脚 字符"/>
    <w:basedOn w:val="9"/>
    <w:link w:val="4"/>
    <w:uiPriority w:val="99"/>
    <w:rPr>
      <w:rFonts w:ascii="Times New Roman" w:hAnsi="Times New Roman" w:eastAsia="仿宋_GB2312" w:cs="Times New Roman"/>
      <w:sz w:val="18"/>
      <w:szCs w:val="18"/>
    </w:rPr>
  </w:style>
  <w:style w:type="paragraph" w:customStyle="1" w:styleId="16">
    <w:name w:val="标准标志"/>
    <w:next w:val="1"/>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kern w:val="0"/>
      <w:sz w:val="96"/>
      <w:szCs w:val="20"/>
      <w:lang w:val="en-US" w:eastAsia="zh-CN" w:bidi="ar-SA"/>
    </w:rPr>
  </w:style>
  <w:style w:type="paragraph" w:customStyle="1" w:styleId="17">
    <w:name w:val="标准书脚_偶数页"/>
    <w:uiPriority w:val="99"/>
    <w:pPr>
      <w:spacing w:before="120"/>
    </w:pPr>
    <w:rPr>
      <w:rFonts w:ascii="Times New Roman" w:hAnsi="Times New Roman" w:eastAsia="宋体" w:cs="Times New Roman"/>
      <w:kern w:val="0"/>
      <w:sz w:val="18"/>
      <w:szCs w:val="20"/>
      <w:lang w:val="en-US" w:eastAsia="zh-CN" w:bidi="ar-SA"/>
    </w:rPr>
  </w:style>
  <w:style w:type="paragraph" w:customStyle="1" w:styleId="18">
    <w:name w:val="标准书脚_奇数页"/>
    <w:uiPriority w:val="99"/>
    <w:pPr>
      <w:spacing w:before="120"/>
      <w:jc w:val="right"/>
    </w:pPr>
    <w:rPr>
      <w:rFonts w:ascii="Times New Roman" w:hAnsi="Times New Roman" w:eastAsia="宋体" w:cs="Times New Roman"/>
      <w:kern w:val="0"/>
      <w:sz w:val="18"/>
      <w:szCs w:val="20"/>
      <w:lang w:val="en-US" w:eastAsia="zh-CN" w:bidi="ar-SA"/>
    </w:rPr>
  </w:style>
  <w:style w:type="paragraph" w:customStyle="1" w:styleId="19">
    <w:name w:val="标准书眉_奇数页"/>
    <w:next w:val="1"/>
    <w:uiPriority w:val="99"/>
    <w:pPr>
      <w:tabs>
        <w:tab w:val="center" w:pos="4154"/>
        <w:tab w:val="right" w:pos="8306"/>
      </w:tabs>
      <w:spacing w:after="120"/>
      <w:jc w:val="right"/>
    </w:pPr>
    <w:rPr>
      <w:rFonts w:ascii="Times New Roman" w:hAnsi="Times New Roman" w:eastAsia="宋体" w:cs="Times New Roman"/>
      <w:kern w:val="0"/>
      <w:sz w:val="21"/>
      <w:szCs w:val="20"/>
      <w:lang w:val="en-US" w:eastAsia="zh-CN" w:bidi="ar-SA"/>
    </w:rPr>
  </w:style>
  <w:style w:type="paragraph" w:customStyle="1" w:styleId="20">
    <w:name w:val="标准书眉_偶数页"/>
    <w:basedOn w:val="19"/>
    <w:next w:val="1"/>
    <w:uiPriority w:val="99"/>
    <w:pPr>
      <w:jc w:val="left"/>
    </w:pPr>
  </w:style>
  <w:style w:type="paragraph" w:customStyle="1" w:styleId="21">
    <w:name w:val="标准书眉一"/>
    <w:uiPriority w:val="99"/>
    <w:pPr>
      <w:jc w:val="both"/>
    </w:pPr>
    <w:rPr>
      <w:rFonts w:ascii="Times New Roman" w:hAnsi="Times New Roman" w:eastAsia="宋体" w:cs="Times New Roman"/>
      <w:kern w:val="0"/>
      <w:sz w:val="20"/>
      <w:szCs w:val="20"/>
      <w:lang w:val="en-US" w:eastAsia="zh-CN" w:bidi="ar-SA"/>
    </w:rPr>
  </w:style>
  <w:style w:type="paragraph" w:customStyle="1" w:styleId="22">
    <w:name w:val="前言、引言标题"/>
    <w:next w:val="1"/>
    <w:uiPriority w:val="99"/>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23">
    <w:name w:val="发布"/>
    <w:uiPriority w:val="99"/>
    <w:rPr>
      <w:rFonts w:ascii="黑体" w:eastAsia="黑体" w:cs="Times New Roman"/>
      <w:spacing w:val="22"/>
      <w:w w:val="100"/>
      <w:position w:val="3"/>
      <w:sz w:val="28"/>
    </w:rPr>
  </w:style>
  <w:style w:type="paragraph" w:customStyle="1" w:styleId="24">
    <w:name w:val="发布日期"/>
    <w:uiPriority w:val="99"/>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25">
    <w:name w:val="封面标准英文名称"/>
    <w:uiPriority w:val="99"/>
    <w:pPr>
      <w:widowControl w:val="0"/>
      <w:spacing w:before="370" w:line="400" w:lineRule="exact"/>
      <w:jc w:val="center"/>
    </w:pPr>
    <w:rPr>
      <w:rFonts w:ascii="Times New Roman" w:hAnsi="Times New Roman" w:eastAsia="宋体" w:cs="Times New Roman"/>
      <w:kern w:val="0"/>
      <w:sz w:val="28"/>
      <w:szCs w:val="20"/>
      <w:lang w:val="en-US" w:eastAsia="zh-CN" w:bidi="ar-SA"/>
    </w:rPr>
  </w:style>
  <w:style w:type="paragraph" w:customStyle="1" w:styleId="26">
    <w:name w:val="封面正文"/>
    <w:uiPriority w:val="99"/>
    <w:pPr>
      <w:jc w:val="both"/>
    </w:pPr>
    <w:rPr>
      <w:rFonts w:ascii="Times New Roman" w:hAnsi="Times New Roman" w:eastAsia="宋体" w:cs="Times New Roman"/>
      <w:kern w:val="0"/>
      <w:sz w:val="20"/>
      <w:szCs w:val="20"/>
      <w:lang w:val="en-US" w:eastAsia="zh-CN" w:bidi="ar-SA"/>
    </w:rPr>
  </w:style>
  <w:style w:type="paragraph" w:customStyle="1" w:styleId="27">
    <w:name w:val="其他标准称谓"/>
    <w:uiPriority w:val="99"/>
    <w:pPr>
      <w:spacing w:line="240" w:lineRule="atLeast"/>
      <w:jc w:val="distribute"/>
    </w:pPr>
    <w:rPr>
      <w:rFonts w:ascii="黑体" w:hAnsi="宋体" w:eastAsia="黑体" w:cs="Times New Roman"/>
      <w:kern w:val="0"/>
      <w:sz w:val="52"/>
      <w:szCs w:val="20"/>
      <w:lang w:val="en-US" w:eastAsia="zh-CN" w:bidi="ar-SA"/>
    </w:rPr>
  </w:style>
  <w:style w:type="paragraph" w:customStyle="1" w:styleId="28">
    <w:name w:val="其他发布部门"/>
    <w:basedOn w:val="1"/>
    <w:uiPriority w:val="99"/>
    <w:pPr>
      <w:framePr w:w="7433" w:h="585" w:hRule="exact" w:hSpace="180" w:vSpace="180" w:wrap="around" w:vAnchor="margin" w:hAnchor="margin" w:xAlign="center" w:y="14401" w:anchorLock="1"/>
      <w:widowControl/>
      <w:spacing w:line="240" w:lineRule="atLeast"/>
      <w:jc w:val="center"/>
    </w:pPr>
    <w:rPr>
      <w:rFonts w:ascii="黑体" w:eastAsia="黑体"/>
      <w:spacing w:val="20"/>
      <w:w w:val="135"/>
      <w:kern w:val="0"/>
      <w:sz w:val="36"/>
    </w:rPr>
  </w:style>
  <w:style w:type="paragraph" w:customStyle="1" w:styleId="29">
    <w:name w:val="实施日期"/>
    <w:basedOn w:val="24"/>
    <w:uiPriority w:val="99"/>
    <w:pPr>
      <w:framePr w:hSpace="0" w:wrap="around" w:xAlign="right"/>
      <w:jc w:val="right"/>
    </w:pPr>
  </w:style>
  <w:style w:type="paragraph" w:customStyle="1" w:styleId="30">
    <w:name w:val="文献分类号"/>
    <w:uiPriority w:val="99"/>
    <w:pPr>
      <w:framePr w:hSpace="180" w:vSpace="180" w:wrap="around" w:vAnchor="margin" w:hAnchor="margin" w:y="1" w:anchorLock="1"/>
      <w:widowControl w:val="0"/>
      <w:textAlignment w:val="center"/>
    </w:pPr>
    <w:rPr>
      <w:rFonts w:ascii="Times New Roman" w:hAnsi="Times New Roman" w:eastAsia="黑体" w:cs="Times New Roman"/>
      <w:kern w:val="0"/>
      <w:sz w:val="21"/>
      <w:szCs w:val="20"/>
      <w:lang w:val="en-US" w:eastAsia="zh-CN" w:bidi="ar-SA"/>
    </w:rPr>
  </w:style>
  <w:style w:type="character" w:customStyle="1" w:styleId="31">
    <w:name w:val="纯文本 字符"/>
    <w:basedOn w:val="9"/>
    <w:link w:val="2"/>
    <w:uiPriority w:val="0"/>
    <w:rPr>
      <w:rFonts w:ascii="宋体" w:hAnsi="Courier New" w:eastAsia="宋体" w:cs="Courier New"/>
      <w:szCs w:val="21"/>
    </w:rPr>
  </w:style>
  <w:style w:type="character" w:customStyle="1" w:styleId="32">
    <w:name w:val="日期 字符"/>
    <w:basedOn w:val="9"/>
    <w:link w:val="3"/>
    <w:semiHidden/>
    <w:uiPriority w:val="99"/>
    <w:rPr>
      <w:rFonts w:ascii="Times New Roman" w:hAnsi="Times New Roman" w:eastAsia="仿宋_GB2312" w:cs="Times New Roman"/>
      <w:sz w:val="3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2DB57-BD19-473C-AB5A-4C2086AFD428}">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3117</Words>
  <Characters>3524</Characters>
  <Lines>26</Lines>
  <Paragraphs>7</Paragraphs>
  <TotalTime>857</TotalTime>
  <ScaleCrop>false</ScaleCrop>
  <LinksUpToDate>false</LinksUpToDate>
  <CharactersWithSpaces>3619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2020-11-22T01:37:00Z</dcterms:created>
  <dc:creator>33458379@qq.com</dc:creator>
  <cp:lastModifiedBy>✨小阳阳。</cp:lastModifiedBy>
  <cp:lastPrinted>2021-09-13T07:53:00Z</cp:lastPrinted>
  <dcterms:modified xsi:type="dcterms:W3CDTF">2024-07-03T01:49:57Z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7B7C61FC123847F4B92079BD972EE437_12</vt:lpwstr>
  </property>
</Properties>
</file>